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C52" w:rsidRDefault="00E71C52" w:rsidP="00E71C52"/>
    <w:p w:rsidR="00CB29D2" w:rsidRPr="00D3799C" w:rsidRDefault="0086267E" w:rsidP="00D3799C">
      <w:pPr>
        <w:pStyle w:val="Title"/>
        <w:spacing w:after="480"/>
        <w:rPr>
          <w:color w:val="FE5000" w:themeColor="accent1"/>
          <w:sz w:val="36"/>
          <w:szCs w:val="36"/>
        </w:rPr>
      </w:pPr>
      <w:r w:rsidRPr="00D3799C">
        <w:rPr>
          <w:b/>
          <w:color w:val="FE5000" w:themeColor="accent1"/>
          <w:sz w:val="48"/>
          <w:szCs w:val="48"/>
        </w:rPr>
        <w:t>8</w:t>
      </w:r>
      <w:r w:rsidR="00156159" w:rsidRPr="00D3799C">
        <w:rPr>
          <w:b/>
          <w:color w:val="FE5000" w:themeColor="accent1"/>
          <w:sz w:val="48"/>
          <w:szCs w:val="48"/>
        </w:rPr>
        <w:t xml:space="preserve"> Bright MLS Rules to K</w:t>
      </w:r>
      <w:r w:rsidR="002D55EA" w:rsidRPr="00D3799C">
        <w:rPr>
          <w:b/>
          <w:color w:val="FE5000" w:themeColor="accent1"/>
          <w:sz w:val="48"/>
          <w:szCs w:val="48"/>
        </w:rPr>
        <w:t>now</w:t>
      </w:r>
      <w:r w:rsidR="00CB29D2" w:rsidRPr="00156159">
        <w:rPr>
          <w:b/>
          <w:color w:val="FE5000" w:themeColor="accent1"/>
        </w:rPr>
        <w:t xml:space="preserve"> </w:t>
      </w:r>
      <w:r w:rsidR="00156159" w:rsidRPr="00156159">
        <w:rPr>
          <w:b/>
          <w:color w:val="FE5000" w:themeColor="accent1"/>
        </w:rPr>
        <w:br/>
      </w:r>
      <w:r w:rsidR="00CB29D2" w:rsidRPr="00D3799C">
        <w:rPr>
          <w:color w:val="FE5000" w:themeColor="accent1"/>
          <w:sz w:val="36"/>
          <w:szCs w:val="36"/>
        </w:rPr>
        <w:t xml:space="preserve">for the </w:t>
      </w:r>
      <w:r w:rsidR="008914FB">
        <w:rPr>
          <w:color w:val="FE5000" w:themeColor="accent1"/>
          <w:sz w:val="36"/>
          <w:szCs w:val="36"/>
        </w:rPr>
        <w:t>Sussex County</w:t>
      </w:r>
      <w:r w:rsidR="00CB29D2" w:rsidRPr="00D3799C">
        <w:rPr>
          <w:color w:val="FE5000" w:themeColor="accent1"/>
          <w:sz w:val="36"/>
          <w:szCs w:val="36"/>
        </w:rPr>
        <w:t xml:space="preserve"> Association of REALTORS®</w:t>
      </w:r>
    </w:p>
    <w:p w:rsidR="00CB29D2" w:rsidRPr="00D3799C" w:rsidRDefault="00CB29D2" w:rsidP="00D3799C">
      <w:pPr>
        <w:spacing w:before="360"/>
        <w:rPr>
          <w:b/>
          <w:sz w:val="22"/>
          <w:szCs w:val="22"/>
        </w:rPr>
      </w:pPr>
      <w:r w:rsidRPr="00D3799C">
        <w:rPr>
          <w:b/>
          <w:sz w:val="22"/>
          <w:szCs w:val="22"/>
        </w:rPr>
        <w:t xml:space="preserve">Bright MLS is the result of 9 organizations coming together to create one MLS and simplify the MLS landscape. One of the important tasks these organizations tackled was </w:t>
      </w:r>
      <w:r w:rsidR="00156159" w:rsidRPr="00D3799C">
        <w:rPr>
          <w:b/>
          <w:sz w:val="22"/>
          <w:szCs w:val="22"/>
        </w:rPr>
        <w:t>creating</w:t>
      </w:r>
      <w:r w:rsidRPr="00D3799C">
        <w:rPr>
          <w:b/>
          <w:sz w:val="22"/>
          <w:szCs w:val="22"/>
        </w:rPr>
        <w:t xml:space="preserve"> a new set of rules that considered the new </w:t>
      </w:r>
      <w:r w:rsidR="008474BF">
        <w:rPr>
          <w:b/>
          <w:sz w:val="22"/>
          <w:szCs w:val="22"/>
        </w:rPr>
        <w:t xml:space="preserve">expanded </w:t>
      </w:r>
      <w:r w:rsidRPr="00D3799C">
        <w:rPr>
          <w:b/>
          <w:sz w:val="22"/>
          <w:szCs w:val="22"/>
        </w:rPr>
        <w:t xml:space="preserve">footprint as well as </w:t>
      </w:r>
      <w:r w:rsidR="0086267E" w:rsidRPr="00D3799C">
        <w:rPr>
          <w:b/>
          <w:sz w:val="22"/>
          <w:szCs w:val="22"/>
        </w:rPr>
        <w:t>local</w:t>
      </w:r>
      <w:r w:rsidRPr="00D3799C">
        <w:rPr>
          <w:b/>
          <w:sz w:val="22"/>
          <w:szCs w:val="22"/>
        </w:rPr>
        <w:t xml:space="preserve"> needs. To do this, representatives of all 9 MLSs collaborate</w:t>
      </w:r>
      <w:r w:rsidR="008474BF">
        <w:rPr>
          <w:b/>
          <w:sz w:val="22"/>
          <w:szCs w:val="22"/>
        </w:rPr>
        <w:t>d</w:t>
      </w:r>
      <w:r w:rsidRPr="00D3799C">
        <w:rPr>
          <w:b/>
          <w:sz w:val="22"/>
          <w:szCs w:val="22"/>
        </w:rPr>
        <w:t xml:space="preserve"> </w:t>
      </w:r>
      <w:r w:rsidR="008474BF">
        <w:rPr>
          <w:b/>
          <w:sz w:val="22"/>
          <w:szCs w:val="22"/>
        </w:rPr>
        <w:t xml:space="preserve">to determine the </w:t>
      </w:r>
      <w:r w:rsidRPr="00D3799C">
        <w:rPr>
          <w:b/>
          <w:sz w:val="22"/>
          <w:szCs w:val="22"/>
        </w:rPr>
        <w:t>rules, statuses and property types</w:t>
      </w:r>
      <w:r w:rsidR="0086267E" w:rsidRPr="00D3799C">
        <w:rPr>
          <w:b/>
          <w:sz w:val="22"/>
          <w:szCs w:val="22"/>
        </w:rPr>
        <w:t>.</w:t>
      </w:r>
    </w:p>
    <w:p w:rsidR="00CB29D2" w:rsidRPr="00D3799C" w:rsidRDefault="00CB29D2" w:rsidP="0086267E">
      <w:pPr>
        <w:spacing w:after="360"/>
        <w:rPr>
          <w:b/>
          <w:sz w:val="22"/>
          <w:szCs w:val="22"/>
        </w:rPr>
      </w:pPr>
      <w:r w:rsidRPr="00D3799C">
        <w:rPr>
          <w:b/>
          <w:sz w:val="22"/>
          <w:szCs w:val="22"/>
        </w:rPr>
        <w:t xml:space="preserve">While most of the rules will be familiar since they follow the </w:t>
      </w:r>
      <w:r w:rsidR="00A60807">
        <w:rPr>
          <w:b/>
          <w:sz w:val="22"/>
          <w:szCs w:val="22"/>
        </w:rPr>
        <w:t>National Association of REALTORS®</w:t>
      </w:r>
      <w:r w:rsidR="00A60807" w:rsidRPr="005C391F">
        <w:rPr>
          <w:b/>
          <w:sz w:val="22"/>
          <w:szCs w:val="22"/>
        </w:rPr>
        <w:t xml:space="preserve"> </w:t>
      </w:r>
      <w:r w:rsidRPr="00D3799C">
        <w:rPr>
          <w:b/>
          <w:sz w:val="22"/>
          <w:szCs w:val="22"/>
        </w:rPr>
        <w:t xml:space="preserve">model rules, there are some details that will be new. </w:t>
      </w:r>
      <w:r w:rsidR="0086267E" w:rsidRPr="00D3799C">
        <w:rPr>
          <w:b/>
          <w:sz w:val="22"/>
          <w:szCs w:val="22"/>
        </w:rPr>
        <w:t>Here are 8 of them:</w:t>
      </w:r>
    </w:p>
    <w:p w:rsidR="00CB29D2" w:rsidRPr="00D3799C" w:rsidRDefault="00CB29D2" w:rsidP="0086267E">
      <w:pPr>
        <w:numPr>
          <w:ilvl w:val="0"/>
          <w:numId w:val="1"/>
        </w:numPr>
        <w:tabs>
          <w:tab w:val="clear" w:pos="720"/>
          <w:tab w:val="num" w:pos="360"/>
        </w:tabs>
        <w:ind w:left="360"/>
        <w:rPr>
          <w:sz w:val="22"/>
          <w:szCs w:val="22"/>
        </w:rPr>
      </w:pPr>
      <w:r w:rsidRPr="00D3799C">
        <w:rPr>
          <w:sz w:val="22"/>
          <w:szCs w:val="22"/>
        </w:rPr>
        <w:t xml:space="preserve">All changes to listings, including initial entry, status and </w:t>
      </w:r>
      <w:r w:rsidRPr="00A60807">
        <w:rPr>
          <w:sz w:val="22"/>
          <w:szCs w:val="22"/>
        </w:rPr>
        <w:t xml:space="preserve">price changes, must be completed </w:t>
      </w:r>
      <w:r w:rsidR="00A60807" w:rsidRPr="00A60807">
        <w:rPr>
          <w:sz w:val="22"/>
          <w:szCs w:val="22"/>
        </w:rPr>
        <w:t>within 3 business days of the start of the listing term (which may or may not coincide with the date the listing agreement was signed by all parties) or effective date of the change.</w:t>
      </w:r>
    </w:p>
    <w:p w:rsidR="00CB29D2" w:rsidRPr="00D3799C" w:rsidRDefault="00CB29D2" w:rsidP="0086267E">
      <w:pPr>
        <w:numPr>
          <w:ilvl w:val="0"/>
          <w:numId w:val="1"/>
        </w:numPr>
        <w:tabs>
          <w:tab w:val="clear" w:pos="720"/>
          <w:tab w:val="num" w:pos="360"/>
        </w:tabs>
        <w:ind w:left="360"/>
        <w:rPr>
          <w:sz w:val="22"/>
          <w:szCs w:val="22"/>
        </w:rPr>
      </w:pPr>
      <w:r w:rsidRPr="00D3799C">
        <w:rPr>
          <w:sz w:val="22"/>
          <w:szCs w:val="22"/>
        </w:rPr>
        <w:t xml:space="preserve">Listings subject to auction terms are permitted. </w:t>
      </w:r>
    </w:p>
    <w:p w:rsidR="000062F5" w:rsidRDefault="00CB29D2" w:rsidP="000062F5">
      <w:pPr>
        <w:numPr>
          <w:ilvl w:val="0"/>
          <w:numId w:val="1"/>
        </w:numPr>
        <w:tabs>
          <w:tab w:val="clear" w:pos="720"/>
          <w:tab w:val="num" w:pos="360"/>
        </w:tabs>
        <w:ind w:left="360"/>
        <w:rPr>
          <w:sz w:val="22"/>
          <w:szCs w:val="22"/>
        </w:rPr>
      </w:pPr>
      <w:r w:rsidRPr="00D3799C">
        <w:rPr>
          <w:sz w:val="22"/>
          <w:szCs w:val="22"/>
        </w:rPr>
        <w:t>If requested, you must provide copies of listing agreements and all related addenda to Bright within 3 business days.</w:t>
      </w:r>
    </w:p>
    <w:p w:rsidR="000062F5" w:rsidRPr="000062F5" w:rsidRDefault="000062F5" w:rsidP="000062F5">
      <w:pPr>
        <w:numPr>
          <w:ilvl w:val="0"/>
          <w:numId w:val="1"/>
        </w:numPr>
        <w:tabs>
          <w:tab w:val="clear" w:pos="720"/>
          <w:tab w:val="num" w:pos="360"/>
        </w:tabs>
        <w:ind w:left="360"/>
        <w:rPr>
          <w:sz w:val="22"/>
          <w:szCs w:val="22"/>
        </w:rPr>
      </w:pPr>
      <w:r w:rsidRPr="000062F5">
        <w:rPr>
          <w:sz w:val="22"/>
          <w:szCs w:val="22"/>
        </w:rPr>
        <w:t>Every listing must include at least one listing photo. This is across all property types, but must include a curbside photo (residential – non-new construction), an architectural rendering (new construction) or a plat/survey (unimproved non-residential).</w:t>
      </w:r>
    </w:p>
    <w:p w:rsidR="00CB29D2" w:rsidRPr="00D3799C" w:rsidRDefault="00CB29D2" w:rsidP="0086267E">
      <w:pPr>
        <w:numPr>
          <w:ilvl w:val="0"/>
          <w:numId w:val="1"/>
        </w:numPr>
        <w:tabs>
          <w:tab w:val="clear" w:pos="720"/>
          <w:tab w:val="num" w:pos="360"/>
        </w:tabs>
        <w:ind w:left="360"/>
        <w:rPr>
          <w:sz w:val="22"/>
          <w:szCs w:val="22"/>
        </w:rPr>
      </w:pPr>
      <w:r w:rsidRPr="00D3799C">
        <w:rPr>
          <w:sz w:val="22"/>
          <w:szCs w:val="22"/>
        </w:rPr>
        <w:t xml:space="preserve">Bright reserves the right to edit listing content. </w:t>
      </w:r>
    </w:p>
    <w:p w:rsidR="00CB29D2" w:rsidRPr="00D3799C" w:rsidRDefault="00CB29D2" w:rsidP="0086267E">
      <w:pPr>
        <w:numPr>
          <w:ilvl w:val="0"/>
          <w:numId w:val="1"/>
        </w:numPr>
        <w:tabs>
          <w:tab w:val="clear" w:pos="720"/>
          <w:tab w:val="num" w:pos="360"/>
        </w:tabs>
        <w:ind w:left="360"/>
        <w:rPr>
          <w:sz w:val="22"/>
          <w:szCs w:val="22"/>
        </w:rPr>
      </w:pPr>
      <w:r w:rsidRPr="00D3799C">
        <w:rPr>
          <w:sz w:val="22"/>
          <w:szCs w:val="22"/>
        </w:rPr>
        <w:t xml:space="preserve">A </w:t>
      </w:r>
      <w:r w:rsidR="00A60807">
        <w:rPr>
          <w:sz w:val="22"/>
          <w:szCs w:val="22"/>
        </w:rPr>
        <w:t>listing</w:t>
      </w:r>
      <w:r w:rsidRPr="00D3799C">
        <w:rPr>
          <w:sz w:val="22"/>
          <w:szCs w:val="22"/>
        </w:rPr>
        <w:t xml:space="preserve"> that is not marketed in Bright may be added to the MLS after it has sold, if the property wasn’t listed, was listed with a non-Bright participant, or was subject to an open listing agreement.</w:t>
      </w:r>
      <w:r w:rsidR="00A60807">
        <w:rPr>
          <w:sz w:val="22"/>
          <w:szCs w:val="22"/>
        </w:rPr>
        <w:t xml:space="preserve"> </w:t>
      </w:r>
    </w:p>
    <w:p w:rsidR="00CB29D2" w:rsidRPr="00D3799C" w:rsidRDefault="00CB29D2" w:rsidP="0086267E">
      <w:pPr>
        <w:numPr>
          <w:ilvl w:val="0"/>
          <w:numId w:val="1"/>
        </w:numPr>
        <w:tabs>
          <w:tab w:val="clear" w:pos="720"/>
          <w:tab w:val="num" w:pos="360"/>
        </w:tabs>
        <w:ind w:left="360"/>
        <w:rPr>
          <w:sz w:val="22"/>
          <w:szCs w:val="22"/>
        </w:rPr>
      </w:pPr>
      <w:r w:rsidRPr="00D3799C">
        <w:rPr>
          <w:sz w:val="22"/>
          <w:szCs w:val="22"/>
        </w:rPr>
        <w:t xml:space="preserve">Cooperative Compensation may not be based upon Net Sales Price. Cooperative Compensation must be offered as a percentage of the Gross Sales Price, as a flat dollar amount, or combination of the two. For new construction only, cooperative compensation may be offered as a percentage of the base sales price, which is defined as the price before any buyer upgrades. </w:t>
      </w:r>
    </w:p>
    <w:p w:rsidR="00D3799C" w:rsidRPr="000062F5" w:rsidRDefault="00DA5908" w:rsidP="00D3799C">
      <w:pPr>
        <w:numPr>
          <w:ilvl w:val="0"/>
          <w:numId w:val="1"/>
        </w:numPr>
        <w:tabs>
          <w:tab w:val="clear" w:pos="720"/>
          <w:tab w:val="num" w:pos="360"/>
        </w:tabs>
        <w:ind w:left="360"/>
        <w:rPr>
          <w:sz w:val="22"/>
          <w:szCs w:val="22"/>
        </w:rPr>
      </w:pPr>
      <w:r>
        <w:rPr>
          <w:sz w:val="22"/>
          <w:szCs w:val="22"/>
        </w:rPr>
        <w:t xml:space="preserve">Licensed </w:t>
      </w:r>
      <w:r w:rsidR="00CB29D2" w:rsidRPr="00D3799C">
        <w:rPr>
          <w:sz w:val="22"/>
          <w:szCs w:val="22"/>
        </w:rPr>
        <w:t>Non-REALTOR® participants are required to participate in the REALTOR® complaint and arbitration process, and may have their MLS access suspended if they refuse to pay an award as the non-prevailing party in an arbitration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950"/>
      </w:tblGrid>
      <w:tr w:rsidR="00D3799C" w:rsidTr="008474BF">
        <w:trPr>
          <w:trHeight w:val="1620"/>
        </w:trPr>
        <w:tc>
          <w:tcPr>
            <w:tcW w:w="6120" w:type="dxa"/>
            <w:shd w:val="clear" w:color="auto" w:fill="00B0B9" w:themeFill="accent2"/>
            <w:vAlign w:val="center"/>
          </w:tcPr>
          <w:p w:rsidR="00D3799C" w:rsidRPr="00D3799C" w:rsidRDefault="00D3799C" w:rsidP="008474BF">
            <w:pPr>
              <w:pStyle w:val="NoSpacing"/>
              <w:ind w:right="162"/>
              <w:jc w:val="right"/>
              <w:rPr>
                <w:rFonts w:asciiTheme="majorHAnsi" w:hAnsiTheme="majorHAnsi"/>
                <w:b/>
                <w:color w:val="FFFFFF" w:themeColor="background1"/>
                <w:sz w:val="32"/>
                <w:szCs w:val="32"/>
              </w:rPr>
            </w:pPr>
            <w:r w:rsidRPr="00D3799C">
              <w:rPr>
                <w:rFonts w:asciiTheme="majorHAnsi" w:hAnsiTheme="majorHAnsi"/>
                <w:b/>
                <w:color w:val="FFFFFF" w:themeColor="background1"/>
                <w:sz w:val="32"/>
                <w:szCs w:val="32"/>
              </w:rPr>
              <w:t>These rules take effect</w:t>
            </w:r>
          </w:p>
          <w:p w:rsidR="00B6725A" w:rsidRDefault="00D3799C" w:rsidP="00B6725A">
            <w:pPr>
              <w:pStyle w:val="NoSpacing"/>
              <w:ind w:right="162"/>
              <w:jc w:val="right"/>
              <w:rPr>
                <w:rFonts w:asciiTheme="majorHAnsi" w:hAnsiTheme="majorHAnsi"/>
                <w:b/>
                <w:color w:val="FFFFFF" w:themeColor="background1"/>
                <w:sz w:val="32"/>
                <w:szCs w:val="32"/>
              </w:rPr>
            </w:pPr>
            <w:r w:rsidRPr="00D3799C">
              <w:rPr>
                <w:rFonts w:asciiTheme="majorHAnsi" w:hAnsiTheme="majorHAnsi"/>
                <w:b/>
                <w:color w:val="FFFFFF" w:themeColor="background1"/>
                <w:sz w:val="32"/>
                <w:szCs w:val="32"/>
              </w:rPr>
              <w:t xml:space="preserve"> when you </w:t>
            </w:r>
            <w:r w:rsidR="008474BF">
              <w:rPr>
                <w:rFonts w:asciiTheme="majorHAnsi" w:hAnsiTheme="majorHAnsi"/>
                <w:b/>
                <w:color w:val="FFFFFF" w:themeColor="background1"/>
                <w:sz w:val="32"/>
                <w:szCs w:val="32"/>
              </w:rPr>
              <w:t>power up</w:t>
            </w:r>
            <w:r w:rsidR="007C3764">
              <w:rPr>
                <w:rFonts w:asciiTheme="majorHAnsi" w:hAnsiTheme="majorHAnsi"/>
                <w:b/>
                <w:color w:val="FFFFFF" w:themeColor="background1"/>
                <w:sz w:val="32"/>
                <w:szCs w:val="32"/>
              </w:rPr>
              <w:t xml:space="preserve"> to</w:t>
            </w:r>
            <w:r w:rsidR="00B6725A">
              <w:rPr>
                <w:rFonts w:asciiTheme="majorHAnsi" w:hAnsiTheme="majorHAnsi"/>
                <w:b/>
                <w:color w:val="FFFFFF" w:themeColor="background1"/>
                <w:sz w:val="32"/>
                <w:szCs w:val="32"/>
              </w:rPr>
              <w:t xml:space="preserve"> </w:t>
            </w:r>
          </w:p>
          <w:p w:rsidR="00D3799C" w:rsidRPr="00B6725A" w:rsidRDefault="00B6725A" w:rsidP="00B6725A">
            <w:pPr>
              <w:pStyle w:val="NoSpacing"/>
              <w:ind w:right="162"/>
              <w:jc w:val="right"/>
              <w:rPr>
                <w:rFonts w:asciiTheme="majorHAnsi" w:hAnsiTheme="majorHAnsi"/>
                <w:b/>
                <w:color w:val="FFFFFF" w:themeColor="background1"/>
                <w:sz w:val="32"/>
                <w:szCs w:val="32"/>
              </w:rPr>
            </w:pPr>
            <w:r>
              <w:rPr>
                <w:rFonts w:asciiTheme="majorHAnsi" w:hAnsiTheme="majorHAnsi"/>
                <w:b/>
                <w:color w:val="FFFFFF" w:themeColor="background1"/>
                <w:sz w:val="32"/>
                <w:szCs w:val="32"/>
              </w:rPr>
              <w:t>Bright MLS.</w:t>
            </w:r>
          </w:p>
        </w:tc>
        <w:tc>
          <w:tcPr>
            <w:tcW w:w="3950" w:type="dxa"/>
          </w:tcPr>
          <w:p w:rsidR="00D3799C" w:rsidRDefault="007C3764" w:rsidP="00D3799C">
            <w:pPr>
              <w:rPr>
                <w:sz w:val="22"/>
                <w:szCs w:val="22"/>
              </w:rPr>
            </w:pPr>
            <w:r>
              <w:rPr>
                <w:noProof/>
                <w:sz w:val="22"/>
                <w:szCs w:val="22"/>
              </w:rPr>
              <w:drawing>
                <wp:anchor distT="0" distB="0" distL="114300" distR="114300" simplePos="0" relativeHeight="251658240" behindDoc="1" locked="0" layoutInCell="1" allowOverlap="1">
                  <wp:simplePos x="0" y="0"/>
                  <wp:positionH relativeFrom="column">
                    <wp:posOffset>-97155</wp:posOffset>
                  </wp:positionH>
                  <wp:positionV relativeFrom="paragraph">
                    <wp:posOffset>-3810</wp:posOffset>
                  </wp:positionV>
                  <wp:extent cx="2507615" cy="1026977"/>
                  <wp:effectExtent l="0" t="0" r="6985"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ow Homes front.jpg"/>
                          <pic:cNvPicPr/>
                        </pic:nvPicPr>
                        <pic:blipFill rotWithShape="1">
                          <a:blip r:embed="rId8" cstate="print">
                            <a:extLst>
                              <a:ext uri="{28A0092B-C50C-407E-A947-70E740481C1C}">
                                <a14:useLocalDpi xmlns:a14="http://schemas.microsoft.com/office/drawing/2010/main" val="0"/>
                              </a:ext>
                            </a:extLst>
                          </a:blip>
                          <a:srcRect t="1" b="2762"/>
                          <a:stretch/>
                        </pic:blipFill>
                        <pic:spPr bwMode="auto">
                          <a:xfrm>
                            <a:off x="0" y="0"/>
                            <a:ext cx="2509390" cy="10277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2921B2" w:rsidRPr="002921B2" w:rsidRDefault="002921B2" w:rsidP="002921B2">
      <w:pPr>
        <w:pStyle w:val="NoSpacing"/>
        <w:rPr>
          <w:sz w:val="16"/>
          <w:szCs w:val="16"/>
        </w:rPr>
      </w:pPr>
    </w:p>
    <w:p w:rsidR="000B7169" w:rsidRDefault="00E42CB0" w:rsidP="00E42CB0">
      <w:pPr>
        <w:pStyle w:val="Heading1"/>
        <w:spacing w:before="240" w:after="360"/>
      </w:pPr>
      <w:r>
        <w:lastRenderedPageBreak/>
        <w:t xml:space="preserve">Bright MLS </w:t>
      </w:r>
      <w:r w:rsidR="000B7169">
        <w:t>Property Type</w:t>
      </w:r>
      <w:r w:rsidR="003363B4">
        <w:t>s</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40"/>
        <w:gridCol w:w="3600"/>
      </w:tblGrid>
      <w:tr w:rsidR="00E71C52" w:rsidRPr="00257699" w:rsidTr="00E71C52">
        <w:tc>
          <w:tcPr>
            <w:tcW w:w="3240" w:type="dxa"/>
          </w:tcPr>
          <w:p w:rsidR="00E71C52" w:rsidRPr="00257699" w:rsidRDefault="00E71C52" w:rsidP="00E71C52">
            <w:pPr>
              <w:rPr>
                <w:b/>
                <w:color w:val="00B0B9" w:themeColor="accent2"/>
                <w:sz w:val="28"/>
                <w:szCs w:val="28"/>
              </w:rPr>
            </w:pPr>
            <w:r w:rsidRPr="00257699">
              <w:rPr>
                <w:b/>
                <w:color w:val="00B0B9" w:themeColor="accent2"/>
                <w:sz w:val="28"/>
                <w:szCs w:val="28"/>
              </w:rPr>
              <w:t>Residential</w:t>
            </w:r>
          </w:p>
        </w:tc>
        <w:tc>
          <w:tcPr>
            <w:tcW w:w="3240" w:type="dxa"/>
          </w:tcPr>
          <w:p w:rsidR="00E71C52" w:rsidRPr="00257699" w:rsidRDefault="00E71C52" w:rsidP="00E71C52">
            <w:pPr>
              <w:rPr>
                <w:b/>
                <w:color w:val="00B0B9" w:themeColor="accent2"/>
                <w:sz w:val="28"/>
                <w:szCs w:val="28"/>
              </w:rPr>
            </w:pPr>
            <w:r w:rsidRPr="00257699">
              <w:rPr>
                <w:b/>
                <w:color w:val="00B0B9" w:themeColor="accent2"/>
                <w:sz w:val="28"/>
                <w:szCs w:val="28"/>
              </w:rPr>
              <w:t>Commercial Sale</w:t>
            </w:r>
          </w:p>
        </w:tc>
        <w:tc>
          <w:tcPr>
            <w:tcW w:w="3600" w:type="dxa"/>
          </w:tcPr>
          <w:p w:rsidR="00E71C52" w:rsidRPr="00257699" w:rsidRDefault="00E71C52" w:rsidP="00E71C52">
            <w:pPr>
              <w:rPr>
                <w:b/>
                <w:color w:val="00B0B9" w:themeColor="accent2"/>
                <w:sz w:val="28"/>
                <w:szCs w:val="28"/>
              </w:rPr>
            </w:pPr>
            <w:r w:rsidRPr="00257699">
              <w:rPr>
                <w:b/>
                <w:color w:val="00B0B9" w:themeColor="accent2"/>
                <w:sz w:val="28"/>
                <w:szCs w:val="28"/>
              </w:rPr>
              <w:t>Multi-family</w:t>
            </w:r>
          </w:p>
        </w:tc>
      </w:tr>
      <w:tr w:rsidR="00E71C52" w:rsidRPr="00257699" w:rsidTr="00E71C52">
        <w:tc>
          <w:tcPr>
            <w:tcW w:w="3240" w:type="dxa"/>
          </w:tcPr>
          <w:p w:rsidR="00E71C52" w:rsidRPr="00257699" w:rsidRDefault="00E71C52" w:rsidP="00E71C52">
            <w:pPr>
              <w:rPr>
                <w:b/>
                <w:color w:val="00B0B9" w:themeColor="accent2"/>
                <w:sz w:val="28"/>
                <w:szCs w:val="28"/>
              </w:rPr>
            </w:pPr>
            <w:r w:rsidRPr="00257699">
              <w:rPr>
                <w:b/>
                <w:color w:val="00B0B9" w:themeColor="accent2"/>
                <w:sz w:val="28"/>
                <w:szCs w:val="28"/>
              </w:rPr>
              <w:t>Residential Lease</w:t>
            </w:r>
          </w:p>
        </w:tc>
        <w:tc>
          <w:tcPr>
            <w:tcW w:w="3240" w:type="dxa"/>
          </w:tcPr>
          <w:p w:rsidR="00E71C52" w:rsidRPr="00257699" w:rsidRDefault="00E71C52" w:rsidP="00E71C52">
            <w:pPr>
              <w:rPr>
                <w:b/>
                <w:color w:val="00B0B9" w:themeColor="accent2"/>
                <w:sz w:val="28"/>
                <w:szCs w:val="28"/>
              </w:rPr>
            </w:pPr>
            <w:r w:rsidRPr="00257699">
              <w:rPr>
                <w:b/>
                <w:color w:val="00B0B9" w:themeColor="accent2"/>
                <w:sz w:val="28"/>
                <w:szCs w:val="28"/>
              </w:rPr>
              <w:t>Commercial Lease</w:t>
            </w:r>
          </w:p>
        </w:tc>
        <w:tc>
          <w:tcPr>
            <w:tcW w:w="3600" w:type="dxa"/>
          </w:tcPr>
          <w:p w:rsidR="00E71C52" w:rsidRPr="00257699" w:rsidRDefault="00E71C52" w:rsidP="00E71C52">
            <w:pPr>
              <w:rPr>
                <w:b/>
                <w:color w:val="00B0B9" w:themeColor="accent2"/>
                <w:sz w:val="28"/>
                <w:szCs w:val="28"/>
              </w:rPr>
            </w:pPr>
            <w:r w:rsidRPr="00257699">
              <w:rPr>
                <w:b/>
                <w:color w:val="00B0B9" w:themeColor="accent2"/>
                <w:sz w:val="28"/>
                <w:szCs w:val="28"/>
              </w:rPr>
              <w:t>Business Opportunity</w:t>
            </w:r>
          </w:p>
        </w:tc>
      </w:tr>
      <w:tr w:rsidR="00E71C52" w:rsidRPr="00257699" w:rsidTr="00E71C52">
        <w:tc>
          <w:tcPr>
            <w:tcW w:w="3240" w:type="dxa"/>
          </w:tcPr>
          <w:p w:rsidR="00E71C52" w:rsidRPr="00257699" w:rsidRDefault="00E71C52" w:rsidP="00E71C52">
            <w:pPr>
              <w:rPr>
                <w:b/>
                <w:color w:val="00B0B9" w:themeColor="accent2"/>
                <w:sz w:val="28"/>
                <w:szCs w:val="28"/>
              </w:rPr>
            </w:pPr>
            <w:r w:rsidRPr="00257699">
              <w:rPr>
                <w:b/>
                <w:color w:val="00B0B9" w:themeColor="accent2"/>
                <w:sz w:val="28"/>
                <w:szCs w:val="28"/>
              </w:rPr>
              <w:t>Farm</w:t>
            </w:r>
          </w:p>
        </w:tc>
        <w:tc>
          <w:tcPr>
            <w:tcW w:w="3240" w:type="dxa"/>
          </w:tcPr>
          <w:p w:rsidR="00E71C52" w:rsidRPr="00257699" w:rsidRDefault="00E71C52" w:rsidP="00E71C52">
            <w:pPr>
              <w:rPr>
                <w:b/>
                <w:color w:val="00B0B9" w:themeColor="accent2"/>
                <w:sz w:val="28"/>
                <w:szCs w:val="28"/>
              </w:rPr>
            </w:pPr>
            <w:r w:rsidRPr="00257699">
              <w:rPr>
                <w:b/>
                <w:color w:val="00B0B9" w:themeColor="accent2"/>
                <w:sz w:val="28"/>
                <w:szCs w:val="28"/>
              </w:rPr>
              <w:t>Land</w:t>
            </w:r>
          </w:p>
        </w:tc>
        <w:tc>
          <w:tcPr>
            <w:tcW w:w="3600" w:type="dxa"/>
          </w:tcPr>
          <w:p w:rsidR="00E71C52" w:rsidRPr="00257699" w:rsidRDefault="00E71C52" w:rsidP="00E71C52">
            <w:pPr>
              <w:rPr>
                <w:b/>
                <w:color w:val="00B0B9" w:themeColor="accent2"/>
                <w:sz w:val="28"/>
                <w:szCs w:val="28"/>
              </w:rPr>
            </w:pPr>
          </w:p>
        </w:tc>
      </w:tr>
    </w:tbl>
    <w:p w:rsidR="003363B4" w:rsidRPr="00257699" w:rsidRDefault="003363B4" w:rsidP="00257699">
      <w:pPr>
        <w:spacing w:before="360"/>
        <w:rPr>
          <w:sz w:val="22"/>
          <w:szCs w:val="22"/>
        </w:rPr>
      </w:pPr>
      <w:r w:rsidRPr="00257699">
        <w:rPr>
          <w:sz w:val="22"/>
          <w:szCs w:val="22"/>
        </w:rPr>
        <w:t>The property types should be familiar to you as well, though some may be no longer be grouped together. A few things to note:</w:t>
      </w:r>
    </w:p>
    <w:p w:rsidR="00E71C52" w:rsidRPr="00257699" w:rsidRDefault="00E71C52" w:rsidP="00E71C52">
      <w:pPr>
        <w:rPr>
          <w:sz w:val="22"/>
          <w:szCs w:val="22"/>
        </w:rPr>
      </w:pPr>
      <w:r w:rsidRPr="00257699">
        <w:rPr>
          <w:b/>
          <w:sz w:val="22"/>
          <w:szCs w:val="22"/>
        </w:rPr>
        <w:t>Commercial Sale/Lease</w:t>
      </w:r>
      <w:r w:rsidRPr="00257699">
        <w:rPr>
          <w:sz w:val="22"/>
          <w:szCs w:val="22"/>
        </w:rPr>
        <w:t xml:space="preserve"> properties include buildings that are zoned for commercial use and/or re</w:t>
      </w:r>
      <w:r w:rsidR="00022071">
        <w:rPr>
          <w:sz w:val="22"/>
          <w:szCs w:val="22"/>
        </w:rPr>
        <w:t xml:space="preserve">sidential dwellings of 5+ units or as specified by regulatory law.  </w:t>
      </w:r>
    </w:p>
    <w:p w:rsidR="000B7169" w:rsidRDefault="00E71C52" w:rsidP="00257699">
      <w:pPr>
        <w:ind w:right="-270"/>
        <w:rPr>
          <w:sz w:val="22"/>
          <w:szCs w:val="22"/>
        </w:rPr>
      </w:pPr>
      <w:r w:rsidRPr="00257699">
        <w:rPr>
          <w:b/>
          <w:sz w:val="22"/>
          <w:szCs w:val="22"/>
        </w:rPr>
        <w:t xml:space="preserve">Business Opportunity </w:t>
      </w:r>
      <w:r w:rsidRPr="00257699">
        <w:rPr>
          <w:sz w:val="22"/>
          <w:szCs w:val="22"/>
        </w:rPr>
        <w:t xml:space="preserve">is </w:t>
      </w:r>
      <w:r w:rsidR="00257699" w:rsidRPr="00257699">
        <w:rPr>
          <w:sz w:val="22"/>
          <w:szCs w:val="22"/>
        </w:rPr>
        <w:t>a business for sale that does not</w:t>
      </w:r>
      <w:r w:rsidRPr="00257699">
        <w:rPr>
          <w:sz w:val="22"/>
          <w:szCs w:val="22"/>
        </w:rPr>
        <w:t xml:space="preserve"> include the real property, but does include a leasehold interest in real property, which is transferred in conjunction with the</w:t>
      </w:r>
      <w:r w:rsidR="003363B4" w:rsidRPr="00257699">
        <w:rPr>
          <w:sz w:val="22"/>
          <w:szCs w:val="22"/>
        </w:rPr>
        <w:t xml:space="preserve"> business.</w:t>
      </w:r>
    </w:p>
    <w:p w:rsidR="002921B2" w:rsidRPr="00257699" w:rsidRDefault="002921B2" w:rsidP="002921B2">
      <w:pPr>
        <w:pStyle w:val="NoSpacing"/>
      </w:pPr>
    </w:p>
    <w:p w:rsidR="00E71C52" w:rsidRPr="003363B4" w:rsidRDefault="00F07A0E" w:rsidP="002921B2">
      <w:pPr>
        <w:pStyle w:val="Heading1"/>
        <w:spacing w:before="360"/>
      </w:pPr>
      <w:r>
        <w:rPr>
          <w:noProof/>
        </w:rPr>
        <w:drawing>
          <wp:anchor distT="0" distB="0" distL="114300" distR="114300" simplePos="0" relativeHeight="251659264" behindDoc="0" locked="0" layoutInCell="1" allowOverlap="1">
            <wp:simplePos x="0" y="0"/>
            <wp:positionH relativeFrom="margin">
              <wp:posOffset>4219575</wp:posOffset>
            </wp:positionH>
            <wp:positionV relativeFrom="paragraph">
              <wp:posOffset>480695</wp:posOffset>
            </wp:positionV>
            <wp:extent cx="2191385" cy="3271734"/>
            <wp:effectExtent l="0" t="0" r="0" b="5080"/>
            <wp:wrapNone/>
            <wp:docPr id="1" name="Picture 1" descr="C:\Users\slukens\AppData\Local\Microsoft\Windows\INetCache\Content.Word\twenty20_549318ea-a515-4510-b891-5af81ab13c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lukens\AppData\Local\Microsoft\Windows\INetCache\Content.Word\twenty20_549318ea-a515-4510-b891-5af81ab13c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9064" cy="3283199"/>
                    </a:xfrm>
                    <a:prstGeom prst="rect">
                      <a:avLst/>
                    </a:prstGeom>
                    <a:noFill/>
                    <a:ln>
                      <a:noFill/>
                    </a:ln>
                  </pic:spPr>
                </pic:pic>
              </a:graphicData>
            </a:graphic>
            <wp14:sizeRelH relativeFrom="page">
              <wp14:pctWidth>0</wp14:pctWidth>
            </wp14:sizeRelH>
            <wp14:sizeRelV relativeFrom="page">
              <wp14:pctHeight>0</wp14:pctHeight>
            </wp14:sizeRelV>
          </wp:anchor>
        </w:drawing>
      </w:r>
      <w:r w:rsidR="000B7169">
        <w:t>Sta</w:t>
      </w:r>
      <w:bookmarkStart w:id="0" w:name="_GoBack"/>
      <w:bookmarkEnd w:id="0"/>
      <w:r w:rsidR="000B7169">
        <w:t xml:space="preserve">tus </w:t>
      </w:r>
      <w:r w:rsidR="000B7169" w:rsidRPr="003C679A">
        <w:t>Comparisons</w:t>
      </w:r>
    </w:p>
    <w:tbl>
      <w:tblPr>
        <w:tblStyle w:val="TableGrid"/>
        <w:tblW w:w="0" w:type="auto"/>
        <w:tblBorders>
          <w:top w:val="none" w:sz="0" w:space="0" w:color="auto"/>
          <w:left w:val="none" w:sz="0" w:space="0" w:color="auto"/>
          <w:bottom w:val="none" w:sz="0" w:space="0" w:color="auto"/>
          <w:right w:val="none" w:sz="0" w:space="0" w:color="auto"/>
          <w:insideH w:val="single" w:sz="8" w:space="0" w:color="00B0B9" w:themeColor="accent2"/>
          <w:insideV w:val="none" w:sz="0" w:space="0" w:color="auto"/>
        </w:tblBorders>
        <w:tblLook w:val="04A0" w:firstRow="1" w:lastRow="0" w:firstColumn="1" w:lastColumn="0" w:noHBand="0" w:noVBand="1"/>
      </w:tblPr>
      <w:tblGrid>
        <w:gridCol w:w="3330"/>
        <w:gridCol w:w="3510"/>
      </w:tblGrid>
      <w:tr w:rsidR="00257699" w:rsidRPr="00257699" w:rsidTr="00F07A0E">
        <w:trPr>
          <w:trHeight w:val="504"/>
        </w:trPr>
        <w:tc>
          <w:tcPr>
            <w:tcW w:w="3330" w:type="dxa"/>
            <w:shd w:val="clear" w:color="auto" w:fill="FFFFFF" w:themeFill="background1"/>
            <w:vAlign w:val="center"/>
          </w:tcPr>
          <w:p w:rsidR="0037540B" w:rsidRPr="00257699" w:rsidRDefault="0037540B" w:rsidP="00257699">
            <w:pPr>
              <w:pStyle w:val="NoSpacing"/>
              <w:rPr>
                <w:b/>
                <w:color w:val="00B0B9" w:themeColor="accent2"/>
                <w:sz w:val="28"/>
                <w:szCs w:val="28"/>
              </w:rPr>
            </w:pPr>
            <w:r w:rsidRPr="00257699">
              <w:rPr>
                <w:b/>
                <w:color w:val="00B0B9" w:themeColor="accent2"/>
                <w:sz w:val="28"/>
                <w:szCs w:val="28"/>
              </w:rPr>
              <w:t>Bright status</w:t>
            </w:r>
          </w:p>
        </w:tc>
        <w:tc>
          <w:tcPr>
            <w:tcW w:w="3510" w:type="dxa"/>
            <w:shd w:val="clear" w:color="auto" w:fill="FFFFFF" w:themeFill="background1"/>
            <w:vAlign w:val="center"/>
          </w:tcPr>
          <w:p w:rsidR="0037540B" w:rsidRPr="00257699" w:rsidRDefault="0037540B" w:rsidP="000062F5">
            <w:pPr>
              <w:pStyle w:val="NoSpacing"/>
              <w:rPr>
                <w:b/>
                <w:color w:val="00B0B9" w:themeColor="accent2"/>
                <w:sz w:val="28"/>
                <w:szCs w:val="28"/>
              </w:rPr>
            </w:pPr>
            <w:r w:rsidRPr="00257699">
              <w:rPr>
                <w:b/>
                <w:color w:val="00B0B9" w:themeColor="accent2"/>
                <w:sz w:val="28"/>
                <w:szCs w:val="28"/>
              </w:rPr>
              <w:t xml:space="preserve">Prior </w:t>
            </w:r>
            <w:r w:rsidR="000062F5">
              <w:rPr>
                <w:b/>
                <w:color w:val="00B0B9" w:themeColor="accent2"/>
                <w:sz w:val="28"/>
                <w:szCs w:val="28"/>
              </w:rPr>
              <w:t>Sussex</w:t>
            </w:r>
            <w:r w:rsidRPr="00257699">
              <w:rPr>
                <w:b/>
                <w:color w:val="00B0B9" w:themeColor="accent2"/>
                <w:sz w:val="28"/>
                <w:szCs w:val="28"/>
              </w:rPr>
              <w:t xml:space="preserve"> status</w:t>
            </w:r>
          </w:p>
        </w:tc>
      </w:tr>
      <w:tr w:rsidR="0037540B" w:rsidRPr="0037540B" w:rsidTr="00F07A0E">
        <w:trPr>
          <w:trHeight w:val="432"/>
        </w:trPr>
        <w:tc>
          <w:tcPr>
            <w:tcW w:w="3330" w:type="dxa"/>
            <w:vAlign w:val="center"/>
          </w:tcPr>
          <w:p w:rsidR="0037540B" w:rsidRPr="00CB6225" w:rsidRDefault="0037540B" w:rsidP="00257699">
            <w:pPr>
              <w:pStyle w:val="NoSpacing"/>
              <w:rPr>
                <w:sz w:val="22"/>
                <w:szCs w:val="22"/>
              </w:rPr>
            </w:pPr>
            <w:r w:rsidRPr="00CB6225">
              <w:rPr>
                <w:sz w:val="22"/>
                <w:szCs w:val="22"/>
              </w:rPr>
              <w:t>Active</w:t>
            </w:r>
          </w:p>
        </w:tc>
        <w:tc>
          <w:tcPr>
            <w:tcW w:w="3510" w:type="dxa"/>
            <w:vAlign w:val="center"/>
          </w:tcPr>
          <w:p w:rsidR="000062F5" w:rsidRDefault="0037540B" w:rsidP="000062F5">
            <w:pPr>
              <w:pStyle w:val="NoSpacing"/>
              <w:rPr>
                <w:sz w:val="22"/>
                <w:szCs w:val="22"/>
              </w:rPr>
            </w:pPr>
            <w:r w:rsidRPr="00CB6225">
              <w:rPr>
                <w:sz w:val="22"/>
                <w:szCs w:val="22"/>
              </w:rPr>
              <w:t>Active</w:t>
            </w:r>
          </w:p>
          <w:p w:rsidR="00257699" w:rsidRPr="00CB6225" w:rsidRDefault="000062F5" w:rsidP="000062F5">
            <w:pPr>
              <w:pStyle w:val="NoSpacing"/>
              <w:rPr>
                <w:sz w:val="22"/>
                <w:szCs w:val="22"/>
              </w:rPr>
            </w:pPr>
            <w:r>
              <w:rPr>
                <w:sz w:val="22"/>
                <w:szCs w:val="22"/>
              </w:rPr>
              <w:t xml:space="preserve">Short Sales (will require </w:t>
            </w:r>
            <w:r>
              <w:rPr>
                <w:sz w:val="22"/>
                <w:szCs w:val="22"/>
              </w:rPr>
              <w:br/>
              <w:t>special disclosures)</w:t>
            </w:r>
          </w:p>
        </w:tc>
      </w:tr>
      <w:tr w:rsidR="0037540B" w:rsidRPr="0037540B" w:rsidTr="00F07A0E">
        <w:trPr>
          <w:trHeight w:val="432"/>
        </w:trPr>
        <w:tc>
          <w:tcPr>
            <w:tcW w:w="3330" w:type="dxa"/>
            <w:vAlign w:val="center"/>
          </w:tcPr>
          <w:p w:rsidR="0037540B" w:rsidRPr="00CB6225" w:rsidRDefault="0037540B" w:rsidP="00257699">
            <w:pPr>
              <w:pStyle w:val="NoSpacing"/>
              <w:rPr>
                <w:sz w:val="22"/>
                <w:szCs w:val="22"/>
              </w:rPr>
            </w:pPr>
            <w:r w:rsidRPr="00CB6225">
              <w:rPr>
                <w:sz w:val="22"/>
                <w:szCs w:val="22"/>
              </w:rPr>
              <w:t>Active under contract</w:t>
            </w:r>
          </w:p>
        </w:tc>
        <w:tc>
          <w:tcPr>
            <w:tcW w:w="3510" w:type="dxa"/>
            <w:vAlign w:val="center"/>
          </w:tcPr>
          <w:p w:rsidR="0037540B" w:rsidRPr="00CB6225" w:rsidRDefault="00257699" w:rsidP="000062F5">
            <w:pPr>
              <w:pStyle w:val="NoSpacing"/>
              <w:rPr>
                <w:sz w:val="22"/>
                <w:szCs w:val="22"/>
              </w:rPr>
            </w:pPr>
            <w:r w:rsidRPr="00CB6225">
              <w:rPr>
                <w:sz w:val="22"/>
                <w:szCs w:val="22"/>
              </w:rPr>
              <w:t>Active</w:t>
            </w:r>
            <w:r w:rsidR="000062F5">
              <w:rPr>
                <w:sz w:val="22"/>
                <w:szCs w:val="22"/>
              </w:rPr>
              <w:t xml:space="preserve"> with </w:t>
            </w:r>
            <w:proofErr w:type="spellStart"/>
            <w:r w:rsidR="000062F5">
              <w:rPr>
                <w:sz w:val="22"/>
                <w:szCs w:val="22"/>
              </w:rPr>
              <w:t>Kickout</w:t>
            </w:r>
            <w:proofErr w:type="spellEnd"/>
          </w:p>
        </w:tc>
      </w:tr>
      <w:tr w:rsidR="0037540B" w:rsidRPr="0037540B" w:rsidTr="00F07A0E">
        <w:trPr>
          <w:trHeight w:val="432"/>
        </w:trPr>
        <w:tc>
          <w:tcPr>
            <w:tcW w:w="3330" w:type="dxa"/>
            <w:vAlign w:val="center"/>
          </w:tcPr>
          <w:p w:rsidR="0037540B" w:rsidRPr="00CB6225" w:rsidRDefault="0037540B" w:rsidP="00257699">
            <w:pPr>
              <w:pStyle w:val="NoSpacing"/>
              <w:rPr>
                <w:sz w:val="22"/>
                <w:szCs w:val="22"/>
              </w:rPr>
            </w:pPr>
            <w:r w:rsidRPr="00CB6225">
              <w:rPr>
                <w:sz w:val="22"/>
                <w:szCs w:val="22"/>
              </w:rPr>
              <w:t>Cancelled</w:t>
            </w:r>
          </w:p>
        </w:tc>
        <w:tc>
          <w:tcPr>
            <w:tcW w:w="3510" w:type="dxa"/>
            <w:vAlign w:val="center"/>
          </w:tcPr>
          <w:p w:rsidR="0037540B" w:rsidRPr="00CB6225" w:rsidRDefault="0037540B" w:rsidP="00257699">
            <w:pPr>
              <w:pStyle w:val="NoSpacing"/>
              <w:rPr>
                <w:sz w:val="22"/>
                <w:szCs w:val="22"/>
              </w:rPr>
            </w:pPr>
            <w:r w:rsidRPr="00CB6225">
              <w:rPr>
                <w:sz w:val="22"/>
                <w:szCs w:val="22"/>
              </w:rPr>
              <w:t>Withdrawn</w:t>
            </w:r>
          </w:p>
        </w:tc>
      </w:tr>
      <w:tr w:rsidR="0037540B" w:rsidRPr="0037540B" w:rsidTr="00F07A0E">
        <w:trPr>
          <w:trHeight w:val="432"/>
        </w:trPr>
        <w:tc>
          <w:tcPr>
            <w:tcW w:w="3330" w:type="dxa"/>
            <w:vAlign w:val="center"/>
          </w:tcPr>
          <w:p w:rsidR="0037540B" w:rsidRPr="00CB6225" w:rsidRDefault="0037540B" w:rsidP="00257699">
            <w:pPr>
              <w:pStyle w:val="NoSpacing"/>
              <w:rPr>
                <w:sz w:val="22"/>
                <w:szCs w:val="22"/>
              </w:rPr>
            </w:pPr>
            <w:r w:rsidRPr="00CB6225">
              <w:rPr>
                <w:sz w:val="22"/>
                <w:szCs w:val="22"/>
              </w:rPr>
              <w:t>Closed</w:t>
            </w:r>
          </w:p>
        </w:tc>
        <w:tc>
          <w:tcPr>
            <w:tcW w:w="3510" w:type="dxa"/>
            <w:vAlign w:val="center"/>
          </w:tcPr>
          <w:p w:rsidR="00257699" w:rsidRPr="00CB6225" w:rsidRDefault="0037540B" w:rsidP="000062F5">
            <w:pPr>
              <w:pStyle w:val="NoSpacing"/>
              <w:rPr>
                <w:sz w:val="22"/>
                <w:szCs w:val="22"/>
              </w:rPr>
            </w:pPr>
            <w:r w:rsidRPr="00CB6225">
              <w:rPr>
                <w:sz w:val="22"/>
                <w:szCs w:val="22"/>
              </w:rPr>
              <w:t>Sold</w:t>
            </w:r>
          </w:p>
        </w:tc>
      </w:tr>
      <w:tr w:rsidR="0037540B" w:rsidRPr="0037540B" w:rsidTr="00F07A0E">
        <w:trPr>
          <w:trHeight w:val="432"/>
        </w:trPr>
        <w:tc>
          <w:tcPr>
            <w:tcW w:w="3330" w:type="dxa"/>
            <w:vAlign w:val="center"/>
          </w:tcPr>
          <w:p w:rsidR="0037540B" w:rsidRPr="00CB6225" w:rsidRDefault="0037540B" w:rsidP="00257699">
            <w:pPr>
              <w:pStyle w:val="NoSpacing"/>
              <w:rPr>
                <w:sz w:val="22"/>
                <w:szCs w:val="22"/>
              </w:rPr>
            </w:pPr>
            <w:r w:rsidRPr="00CB6225">
              <w:rPr>
                <w:sz w:val="22"/>
                <w:szCs w:val="22"/>
              </w:rPr>
              <w:t>Coming soon</w:t>
            </w:r>
          </w:p>
        </w:tc>
        <w:tc>
          <w:tcPr>
            <w:tcW w:w="3510" w:type="dxa"/>
            <w:vAlign w:val="center"/>
          </w:tcPr>
          <w:p w:rsidR="0037540B" w:rsidRPr="00CB6225" w:rsidRDefault="000062F5" w:rsidP="00257699">
            <w:pPr>
              <w:pStyle w:val="NoSpacing"/>
              <w:rPr>
                <w:sz w:val="22"/>
                <w:szCs w:val="22"/>
              </w:rPr>
            </w:pPr>
            <w:r>
              <w:rPr>
                <w:sz w:val="22"/>
                <w:szCs w:val="22"/>
              </w:rPr>
              <w:t>N/A</w:t>
            </w:r>
          </w:p>
        </w:tc>
      </w:tr>
      <w:tr w:rsidR="0037540B" w:rsidRPr="0037540B" w:rsidTr="00F07A0E">
        <w:trPr>
          <w:trHeight w:val="432"/>
        </w:trPr>
        <w:tc>
          <w:tcPr>
            <w:tcW w:w="3330" w:type="dxa"/>
            <w:vAlign w:val="center"/>
          </w:tcPr>
          <w:p w:rsidR="0037540B" w:rsidRPr="00CB6225" w:rsidRDefault="00257699" w:rsidP="00257699">
            <w:pPr>
              <w:pStyle w:val="NoSpacing"/>
              <w:rPr>
                <w:sz w:val="22"/>
                <w:szCs w:val="22"/>
              </w:rPr>
            </w:pPr>
            <w:r w:rsidRPr="00CB6225">
              <w:rPr>
                <w:sz w:val="22"/>
                <w:szCs w:val="22"/>
              </w:rPr>
              <w:t>Expired</w:t>
            </w:r>
          </w:p>
        </w:tc>
        <w:tc>
          <w:tcPr>
            <w:tcW w:w="3510" w:type="dxa"/>
            <w:vAlign w:val="center"/>
          </w:tcPr>
          <w:p w:rsidR="0037540B" w:rsidRPr="00CB6225" w:rsidRDefault="0037540B" w:rsidP="00257699">
            <w:pPr>
              <w:pStyle w:val="NoSpacing"/>
              <w:rPr>
                <w:sz w:val="22"/>
                <w:szCs w:val="22"/>
              </w:rPr>
            </w:pPr>
            <w:r w:rsidRPr="00CB6225">
              <w:rPr>
                <w:sz w:val="22"/>
                <w:szCs w:val="22"/>
              </w:rPr>
              <w:t>Expired</w:t>
            </w:r>
          </w:p>
        </w:tc>
      </w:tr>
      <w:tr w:rsidR="0037540B" w:rsidRPr="0037540B" w:rsidTr="00F07A0E">
        <w:trPr>
          <w:trHeight w:val="432"/>
        </w:trPr>
        <w:tc>
          <w:tcPr>
            <w:tcW w:w="3330" w:type="dxa"/>
            <w:vAlign w:val="center"/>
          </w:tcPr>
          <w:p w:rsidR="0037540B" w:rsidRPr="00CB6225" w:rsidRDefault="0037540B" w:rsidP="00257699">
            <w:pPr>
              <w:pStyle w:val="NoSpacing"/>
              <w:rPr>
                <w:sz w:val="22"/>
                <w:szCs w:val="22"/>
              </w:rPr>
            </w:pPr>
            <w:r w:rsidRPr="00CB6225">
              <w:rPr>
                <w:sz w:val="22"/>
                <w:szCs w:val="22"/>
              </w:rPr>
              <w:t>Temporarily off the market</w:t>
            </w:r>
          </w:p>
        </w:tc>
        <w:tc>
          <w:tcPr>
            <w:tcW w:w="3510" w:type="dxa"/>
            <w:vAlign w:val="center"/>
          </w:tcPr>
          <w:p w:rsidR="0037540B" w:rsidRPr="00CB6225" w:rsidRDefault="000062F5" w:rsidP="00257699">
            <w:pPr>
              <w:pStyle w:val="NoSpacing"/>
              <w:rPr>
                <w:sz w:val="22"/>
                <w:szCs w:val="22"/>
              </w:rPr>
            </w:pPr>
            <w:r>
              <w:rPr>
                <w:sz w:val="22"/>
                <w:szCs w:val="22"/>
              </w:rPr>
              <w:t>N/A</w:t>
            </w:r>
          </w:p>
        </w:tc>
      </w:tr>
      <w:tr w:rsidR="0037540B" w:rsidRPr="0037540B" w:rsidTr="00F07A0E">
        <w:trPr>
          <w:trHeight w:val="432"/>
        </w:trPr>
        <w:tc>
          <w:tcPr>
            <w:tcW w:w="3330" w:type="dxa"/>
            <w:tcBorders>
              <w:bottom w:val="single" w:sz="8" w:space="0" w:color="00B0B9" w:themeColor="accent2"/>
            </w:tcBorders>
            <w:vAlign w:val="center"/>
          </w:tcPr>
          <w:p w:rsidR="0037540B" w:rsidRPr="00CB6225" w:rsidRDefault="00257699" w:rsidP="00257699">
            <w:pPr>
              <w:pStyle w:val="NoSpacing"/>
              <w:rPr>
                <w:sz w:val="22"/>
                <w:szCs w:val="22"/>
              </w:rPr>
            </w:pPr>
            <w:r w:rsidRPr="00CB6225">
              <w:rPr>
                <w:sz w:val="22"/>
                <w:szCs w:val="22"/>
              </w:rPr>
              <w:t>Pending</w:t>
            </w:r>
          </w:p>
        </w:tc>
        <w:tc>
          <w:tcPr>
            <w:tcW w:w="3510" w:type="dxa"/>
            <w:tcBorders>
              <w:bottom w:val="single" w:sz="8" w:space="0" w:color="00B0B9" w:themeColor="accent2"/>
            </w:tcBorders>
            <w:vAlign w:val="center"/>
          </w:tcPr>
          <w:p w:rsidR="0037540B" w:rsidRPr="00CB6225" w:rsidRDefault="0037540B" w:rsidP="00257699">
            <w:pPr>
              <w:pStyle w:val="NoSpacing"/>
              <w:rPr>
                <w:sz w:val="22"/>
                <w:szCs w:val="22"/>
              </w:rPr>
            </w:pPr>
            <w:r w:rsidRPr="00CB6225">
              <w:rPr>
                <w:sz w:val="22"/>
                <w:szCs w:val="22"/>
              </w:rPr>
              <w:t>Pending</w:t>
            </w:r>
          </w:p>
        </w:tc>
      </w:tr>
      <w:tr w:rsidR="0037540B" w:rsidRPr="0037540B" w:rsidTr="00F07A0E">
        <w:trPr>
          <w:trHeight w:val="432"/>
        </w:trPr>
        <w:tc>
          <w:tcPr>
            <w:tcW w:w="3330" w:type="dxa"/>
            <w:tcBorders>
              <w:top w:val="single" w:sz="8" w:space="0" w:color="00B0B9" w:themeColor="accent2"/>
              <w:bottom w:val="single" w:sz="8" w:space="0" w:color="00B0B9" w:themeColor="accent2"/>
            </w:tcBorders>
            <w:vAlign w:val="center"/>
          </w:tcPr>
          <w:p w:rsidR="0037540B" w:rsidRPr="00CB6225" w:rsidRDefault="0037540B" w:rsidP="00257699">
            <w:pPr>
              <w:pStyle w:val="NoSpacing"/>
              <w:rPr>
                <w:sz w:val="22"/>
                <w:szCs w:val="22"/>
              </w:rPr>
            </w:pPr>
            <w:r w:rsidRPr="00CB6225">
              <w:rPr>
                <w:sz w:val="22"/>
                <w:szCs w:val="22"/>
              </w:rPr>
              <w:t>Withdrawn</w:t>
            </w:r>
          </w:p>
        </w:tc>
        <w:tc>
          <w:tcPr>
            <w:tcW w:w="3510" w:type="dxa"/>
            <w:tcBorders>
              <w:top w:val="single" w:sz="8" w:space="0" w:color="00B0B9" w:themeColor="accent2"/>
              <w:bottom w:val="single" w:sz="8" w:space="0" w:color="00B0B9" w:themeColor="accent2"/>
            </w:tcBorders>
            <w:vAlign w:val="center"/>
          </w:tcPr>
          <w:p w:rsidR="0037540B" w:rsidRPr="00CB6225" w:rsidRDefault="000062F5" w:rsidP="00257699">
            <w:pPr>
              <w:pStyle w:val="NoSpacing"/>
              <w:rPr>
                <w:sz w:val="22"/>
                <w:szCs w:val="22"/>
              </w:rPr>
            </w:pPr>
            <w:r>
              <w:rPr>
                <w:sz w:val="22"/>
                <w:szCs w:val="22"/>
              </w:rPr>
              <w:t>N/A</w:t>
            </w:r>
          </w:p>
        </w:tc>
      </w:tr>
    </w:tbl>
    <w:p w:rsidR="00257699" w:rsidRDefault="00257699" w:rsidP="00B25969"/>
    <w:p w:rsidR="00B25969" w:rsidRPr="00E42CB0" w:rsidRDefault="00B25969" w:rsidP="00B25969"/>
    <w:p w:rsidR="00CB6225" w:rsidRPr="00A60807" w:rsidRDefault="00A60807" w:rsidP="00A60807">
      <w:pPr>
        <w:jc w:val="center"/>
        <w:rPr>
          <w:sz w:val="14"/>
          <w:szCs w:val="14"/>
        </w:rPr>
      </w:pPr>
      <w:r w:rsidRPr="00A60807">
        <w:rPr>
          <w:sz w:val="14"/>
          <w:szCs w:val="14"/>
        </w:rPr>
        <w:t>*If there are any differences between Bright’s Rules &amp; Regulations and state regulations, the state regulations supersede Bright’s Rules &amp; Regulations.</w:t>
      </w:r>
    </w:p>
    <w:sectPr w:rsidR="00CB6225" w:rsidRPr="00A60807" w:rsidSect="00E42CB0">
      <w:footerReference w:type="default" r:id="rId10"/>
      <w:headerReference w:type="first" r:id="rId11"/>
      <w:pgSz w:w="12240" w:h="15840"/>
      <w:pgMar w:top="1080" w:right="1080" w:bottom="1080" w:left="1080" w:header="720" w:footer="101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C6" w:rsidRDefault="00AB3AC6" w:rsidP="003729E5">
      <w:r>
        <w:separator/>
      </w:r>
    </w:p>
  </w:endnote>
  <w:endnote w:type="continuationSeparator" w:id="0">
    <w:p w:rsidR="00AB3AC6" w:rsidRDefault="00AB3AC6" w:rsidP="0037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69" w:rsidRPr="00156159" w:rsidRDefault="00156159" w:rsidP="00E42CB0">
    <w:pPr>
      <w:spacing w:after="0"/>
      <w:jc w:val="right"/>
      <w:rPr>
        <w:b/>
        <w:color w:val="FE5000" w:themeColor="accent1"/>
        <w:sz w:val="20"/>
        <w:szCs w:val="20"/>
      </w:rPr>
    </w:pPr>
    <w:r w:rsidRPr="00156159">
      <w:rPr>
        <w:noProof/>
        <w:color w:val="FE5000" w:themeColor="accent1"/>
        <w:sz w:val="20"/>
        <w:szCs w:val="20"/>
      </w:rPr>
      <w:drawing>
        <wp:anchor distT="0" distB="0" distL="114300" distR="114300" simplePos="0" relativeHeight="251659264" behindDoc="0" locked="0" layoutInCell="1" allowOverlap="1" wp14:anchorId="55542568" wp14:editId="182BDB87">
          <wp:simplePos x="0" y="0"/>
          <wp:positionH relativeFrom="margin">
            <wp:posOffset>107487</wp:posOffset>
          </wp:positionH>
          <wp:positionV relativeFrom="paragraph">
            <wp:posOffset>54660</wp:posOffset>
          </wp:positionV>
          <wp:extent cx="1257300" cy="561975"/>
          <wp:effectExtent l="0" t="0" r="0" b="9525"/>
          <wp:wrapSquare wrapText="bothSides"/>
          <wp:docPr id="8" name="Picture 8" descr="H:\TReND\- EMPLOYEE RESOURCE CENTER\Marketing Materials\Letterhead\Image Files Used In Letterhead Files\Brigh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ReND\- EMPLOYEE RESOURCE CENTER\Marketing Materials\Letterhead\Image Files Used In Letterhead Files\Bright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7169" w:rsidRPr="00156159">
      <w:rPr>
        <w:b/>
        <w:color w:val="FE5000" w:themeColor="accent1"/>
        <w:sz w:val="20"/>
        <w:szCs w:val="20"/>
      </w:rPr>
      <w:t xml:space="preserve">Have a question? </w:t>
    </w:r>
    <w:r>
      <w:rPr>
        <w:b/>
        <w:color w:val="FE5000" w:themeColor="accent1"/>
        <w:sz w:val="20"/>
        <w:szCs w:val="20"/>
      </w:rPr>
      <w:t xml:space="preserve">Contact </w:t>
    </w:r>
    <w:r w:rsidR="0086267E">
      <w:rPr>
        <w:b/>
        <w:color w:val="FE5000" w:themeColor="accent1"/>
        <w:sz w:val="20"/>
        <w:szCs w:val="20"/>
      </w:rPr>
      <w:t>Customer Support</w:t>
    </w:r>
  </w:p>
  <w:p w:rsidR="0086267E" w:rsidRDefault="000B7169" w:rsidP="0086267E">
    <w:pPr>
      <w:pStyle w:val="Footer"/>
      <w:spacing w:after="0"/>
      <w:jc w:val="right"/>
      <w:rPr>
        <w:sz w:val="20"/>
        <w:szCs w:val="20"/>
      </w:rPr>
    </w:pPr>
    <w:r w:rsidRPr="000B7169">
      <w:rPr>
        <w:sz w:val="20"/>
        <w:szCs w:val="20"/>
      </w:rPr>
      <w:t>Monday – Friday 8:00am - 8:00pm</w:t>
    </w:r>
  </w:p>
  <w:p w:rsidR="0086267E" w:rsidRDefault="000B7169" w:rsidP="0086267E">
    <w:pPr>
      <w:pStyle w:val="Footer"/>
      <w:spacing w:after="0"/>
      <w:jc w:val="right"/>
      <w:rPr>
        <w:noProof/>
        <w:sz w:val="20"/>
        <w:szCs w:val="20"/>
      </w:rPr>
    </w:pPr>
    <w:r w:rsidRPr="000B7169">
      <w:rPr>
        <w:sz w:val="20"/>
        <w:szCs w:val="20"/>
      </w:rPr>
      <w:t>Saturday – Sunday 9:00am - 6:00pm</w:t>
    </w:r>
  </w:p>
  <w:p w:rsidR="000B7169" w:rsidRDefault="000B7169" w:rsidP="0086267E">
    <w:pPr>
      <w:pStyle w:val="Footer"/>
      <w:spacing w:after="0"/>
      <w:jc w:val="right"/>
      <w:rPr>
        <w:sz w:val="20"/>
        <w:szCs w:val="20"/>
      </w:rPr>
    </w:pPr>
    <w:r w:rsidRPr="000B7169">
      <w:rPr>
        <w:sz w:val="20"/>
        <w:szCs w:val="20"/>
      </w:rPr>
      <w:t>1-844-55-BRIGHT (1-844-552-7444)</w:t>
    </w:r>
  </w:p>
  <w:p w:rsidR="003C442E" w:rsidRPr="000B7169" w:rsidRDefault="00B87FA2" w:rsidP="0086267E">
    <w:pPr>
      <w:pStyle w:val="Footer"/>
      <w:spacing w:after="0"/>
      <w:jc w:val="right"/>
      <w:rPr>
        <w:sz w:val="20"/>
        <w:szCs w:val="20"/>
      </w:rPr>
    </w:pPr>
    <w:hyperlink r:id="rId2" w:history="1"/>
    <w:r w:rsidR="003C442E">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C6" w:rsidRDefault="00AB3AC6" w:rsidP="003729E5">
      <w:r>
        <w:separator/>
      </w:r>
    </w:p>
  </w:footnote>
  <w:footnote w:type="continuationSeparator" w:id="0">
    <w:p w:rsidR="00AB3AC6" w:rsidRDefault="00AB3AC6" w:rsidP="00372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67E" w:rsidRPr="0086267E" w:rsidRDefault="0086267E" w:rsidP="00E71C52">
    <w:pPr>
      <w:pStyle w:val="NoSpacing"/>
    </w:pPr>
    <w:r w:rsidRPr="0086267E">
      <w:rPr>
        <w:noProof/>
      </w:rPr>
      <w:drawing>
        <wp:anchor distT="0" distB="0" distL="114300" distR="114300" simplePos="0" relativeHeight="251661312" behindDoc="0" locked="0" layoutInCell="1" allowOverlap="1" wp14:anchorId="39309D33" wp14:editId="190B868B">
          <wp:simplePos x="0" y="0"/>
          <wp:positionH relativeFrom="margin">
            <wp:posOffset>0</wp:posOffset>
          </wp:positionH>
          <wp:positionV relativeFrom="paragraph">
            <wp:posOffset>212816</wp:posOffset>
          </wp:positionV>
          <wp:extent cx="1572768" cy="704088"/>
          <wp:effectExtent l="0" t="0" r="8890" b="1270"/>
          <wp:wrapTopAndBottom/>
          <wp:docPr id="9" name="Picture 9" descr="H:\TReND\- EMPLOYEE RESOURCE CENTER\Marketing Materials\Letterhead\Image Files Used In Letterhead Files\Brigh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ReND\- EMPLOYEE RESOURCE CENTER\Marketing Materials\Letterhead\Image Files Used In Letterhead Files\Bright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768" cy="7040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3BE5"/>
    <w:multiLevelType w:val="multilevel"/>
    <w:tmpl w:val="4CA83D56"/>
    <w:lvl w:ilvl="0">
      <w:start w:val="1"/>
      <w:numFmt w:val="decimal"/>
      <w:lvlText w:val="%1."/>
      <w:lvlJc w:val="left"/>
      <w:pPr>
        <w:tabs>
          <w:tab w:val="num" w:pos="720"/>
        </w:tabs>
        <w:ind w:left="720" w:hanging="360"/>
      </w:pPr>
      <w:rPr>
        <w:b/>
        <w:color w:val="00B0B9" w:themeColor="accent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D2"/>
    <w:rsid w:val="000062F5"/>
    <w:rsid w:val="00022071"/>
    <w:rsid w:val="00060799"/>
    <w:rsid w:val="000B7169"/>
    <w:rsid w:val="00103708"/>
    <w:rsid w:val="00156159"/>
    <w:rsid w:val="001A07E3"/>
    <w:rsid w:val="001E3A15"/>
    <w:rsid w:val="001E563E"/>
    <w:rsid w:val="00257699"/>
    <w:rsid w:val="00267012"/>
    <w:rsid w:val="0027574E"/>
    <w:rsid w:val="002921B2"/>
    <w:rsid w:val="002C4962"/>
    <w:rsid w:val="002C541E"/>
    <w:rsid w:val="002C7E8E"/>
    <w:rsid w:val="002D1ECB"/>
    <w:rsid w:val="002D55EA"/>
    <w:rsid w:val="002F421F"/>
    <w:rsid w:val="003146EA"/>
    <w:rsid w:val="003248D4"/>
    <w:rsid w:val="003363B4"/>
    <w:rsid w:val="00341875"/>
    <w:rsid w:val="00370104"/>
    <w:rsid w:val="003729E5"/>
    <w:rsid w:val="0037540B"/>
    <w:rsid w:val="00381916"/>
    <w:rsid w:val="00382A6C"/>
    <w:rsid w:val="003C442E"/>
    <w:rsid w:val="003C4E27"/>
    <w:rsid w:val="003C679A"/>
    <w:rsid w:val="003D397E"/>
    <w:rsid w:val="003D6A42"/>
    <w:rsid w:val="00412E66"/>
    <w:rsid w:val="004247C3"/>
    <w:rsid w:val="0047576B"/>
    <w:rsid w:val="004B410F"/>
    <w:rsid w:val="004E534D"/>
    <w:rsid w:val="00504D02"/>
    <w:rsid w:val="005166B9"/>
    <w:rsid w:val="00530604"/>
    <w:rsid w:val="0057575A"/>
    <w:rsid w:val="00586B3D"/>
    <w:rsid w:val="005A5AF0"/>
    <w:rsid w:val="005E7639"/>
    <w:rsid w:val="0060362B"/>
    <w:rsid w:val="00611257"/>
    <w:rsid w:val="0062675D"/>
    <w:rsid w:val="00626B10"/>
    <w:rsid w:val="00636D70"/>
    <w:rsid w:val="00660D4E"/>
    <w:rsid w:val="0066684B"/>
    <w:rsid w:val="00680DF9"/>
    <w:rsid w:val="00687660"/>
    <w:rsid w:val="006B1303"/>
    <w:rsid w:val="006C4B02"/>
    <w:rsid w:val="00732962"/>
    <w:rsid w:val="00775BB9"/>
    <w:rsid w:val="00794495"/>
    <w:rsid w:val="007C3764"/>
    <w:rsid w:val="007F5AEF"/>
    <w:rsid w:val="00801910"/>
    <w:rsid w:val="00807C40"/>
    <w:rsid w:val="008474BF"/>
    <w:rsid w:val="008579FE"/>
    <w:rsid w:val="0086267E"/>
    <w:rsid w:val="00877E19"/>
    <w:rsid w:val="00885D3F"/>
    <w:rsid w:val="008914FB"/>
    <w:rsid w:val="00945D02"/>
    <w:rsid w:val="009558F3"/>
    <w:rsid w:val="00980C36"/>
    <w:rsid w:val="00984B73"/>
    <w:rsid w:val="00A1580E"/>
    <w:rsid w:val="00A3732D"/>
    <w:rsid w:val="00A451A4"/>
    <w:rsid w:val="00A60807"/>
    <w:rsid w:val="00A779C3"/>
    <w:rsid w:val="00A84A0F"/>
    <w:rsid w:val="00A96F69"/>
    <w:rsid w:val="00A97305"/>
    <w:rsid w:val="00AB3AC6"/>
    <w:rsid w:val="00AD5B71"/>
    <w:rsid w:val="00B25969"/>
    <w:rsid w:val="00B44B17"/>
    <w:rsid w:val="00B6725A"/>
    <w:rsid w:val="00B87FA2"/>
    <w:rsid w:val="00BD2603"/>
    <w:rsid w:val="00C05374"/>
    <w:rsid w:val="00C212BE"/>
    <w:rsid w:val="00C27504"/>
    <w:rsid w:val="00C27B2D"/>
    <w:rsid w:val="00C46B53"/>
    <w:rsid w:val="00C57CC7"/>
    <w:rsid w:val="00CB29D2"/>
    <w:rsid w:val="00CB6225"/>
    <w:rsid w:val="00CD551F"/>
    <w:rsid w:val="00D2564F"/>
    <w:rsid w:val="00D31A15"/>
    <w:rsid w:val="00D3799C"/>
    <w:rsid w:val="00DA5908"/>
    <w:rsid w:val="00DB42A6"/>
    <w:rsid w:val="00DD793C"/>
    <w:rsid w:val="00DE3848"/>
    <w:rsid w:val="00E42CB0"/>
    <w:rsid w:val="00E579DA"/>
    <w:rsid w:val="00E71C52"/>
    <w:rsid w:val="00E9030D"/>
    <w:rsid w:val="00E946D8"/>
    <w:rsid w:val="00F07A0E"/>
    <w:rsid w:val="00F306A3"/>
    <w:rsid w:val="00F50598"/>
    <w:rsid w:val="00F63E31"/>
    <w:rsid w:val="00FB423D"/>
    <w:rsid w:val="00FC277F"/>
    <w:rsid w:val="00FD1F55"/>
    <w:rsid w:val="00FE076B"/>
    <w:rsid w:val="00FE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0D59774-992D-457A-BE31-BEBE676F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67E"/>
    <w:pPr>
      <w:spacing w:after="120"/>
    </w:pPr>
    <w:rPr>
      <w:rFonts w:asciiTheme="minorHAnsi" w:hAnsiTheme="minorHAnsi"/>
    </w:rPr>
  </w:style>
  <w:style w:type="paragraph" w:styleId="Heading1">
    <w:name w:val="heading 1"/>
    <w:basedOn w:val="Normal"/>
    <w:next w:val="Normal"/>
    <w:link w:val="Heading1Char"/>
    <w:uiPriority w:val="9"/>
    <w:qFormat/>
    <w:rsid w:val="00775BB9"/>
    <w:pPr>
      <w:keepNext/>
      <w:keepLines/>
      <w:pBdr>
        <w:bottom w:val="single" w:sz="4" w:space="1" w:color="FE5000" w:themeColor="accent1"/>
      </w:pBdr>
      <w:spacing w:before="480" w:after="240"/>
      <w:outlineLvl w:val="0"/>
    </w:pPr>
    <w:rPr>
      <w:rFonts w:asciiTheme="majorHAnsi" w:eastAsiaTheme="majorEastAsia" w:hAnsiTheme="majorHAnsi" w:cstheme="majorBidi"/>
      <w:b/>
      <w:bCs/>
      <w:color w:val="FE5000"/>
      <w:sz w:val="28"/>
      <w:szCs w:val="28"/>
    </w:rPr>
  </w:style>
  <w:style w:type="paragraph" w:styleId="Heading2">
    <w:name w:val="heading 2"/>
    <w:basedOn w:val="Heading3"/>
    <w:next w:val="Normal"/>
    <w:link w:val="Heading2Char"/>
    <w:uiPriority w:val="9"/>
    <w:qFormat/>
    <w:rsid w:val="00775BB9"/>
    <w:pPr>
      <w:spacing w:before="240"/>
      <w:outlineLvl w:val="1"/>
    </w:pPr>
    <w:rPr>
      <w:color w:val="00B0B9"/>
    </w:rPr>
  </w:style>
  <w:style w:type="paragraph" w:styleId="Heading3">
    <w:name w:val="heading 3"/>
    <w:basedOn w:val="Normal"/>
    <w:next w:val="Normal"/>
    <w:link w:val="Heading3Char"/>
    <w:uiPriority w:val="9"/>
    <w:qFormat/>
    <w:rsid w:val="00775BB9"/>
    <w:pPr>
      <w:keepNext/>
      <w:keepLines/>
      <w:spacing w:before="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qFormat/>
    <w:rsid w:val="00775BB9"/>
    <w:pPr>
      <w:keepNext/>
      <w:keepLines/>
      <w:spacing w:before="120"/>
      <w:outlineLvl w:val="3"/>
    </w:pPr>
    <w:rPr>
      <w:rFonts w:asciiTheme="majorHAnsi" w:eastAsiaTheme="majorEastAsia" w:hAnsiTheme="majorHAnsi" w:cstheme="majorBidi"/>
      <w:b/>
      <w:bCs/>
      <w:iCs/>
      <w:color w:val="707372" w:themeColor="text2"/>
    </w:rPr>
  </w:style>
  <w:style w:type="paragraph" w:styleId="Heading5">
    <w:name w:val="heading 5"/>
    <w:basedOn w:val="Normal"/>
    <w:next w:val="Normal"/>
    <w:link w:val="Heading5Char"/>
    <w:uiPriority w:val="9"/>
    <w:unhideWhenUsed/>
    <w:qFormat/>
    <w:rsid w:val="00775BB9"/>
    <w:pPr>
      <w:keepNext/>
      <w:keepLines/>
      <w:pBdr>
        <w:bottom w:val="single" w:sz="4" w:space="1" w:color="auto"/>
      </w:pBdr>
      <w:spacing w:before="12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BB9"/>
    <w:rPr>
      <w:rFonts w:asciiTheme="majorHAnsi" w:eastAsiaTheme="majorEastAsia" w:hAnsiTheme="majorHAnsi" w:cstheme="majorBidi"/>
      <w:b/>
      <w:bCs/>
      <w:color w:val="FE5000"/>
      <w:sz w:val="28"/>
      <w:szCs w:val="28"/>
    </w:rPr>
  </w:style>
  <w:style w:type="character" w:customStyle="1" w:styleId="Heading2Char">
    <w:name w:val="Heading 2 Char"/>
    <w:basedOn w:val="DefaultParagraphFont"/>
    <w:link w:val="Heading2"/>
    <w:uiPriority w:val="9"/>
    <w:rsid w:val="00775BB9"/>
    <w:rPr>
      <w:rFonts w:asciiTheme="majorHAnsi" w:eastAsiaTheme="majorEastAsia" w:hAnsiTheme="majorHAnsi" w:cstheme="majorBidi"/>
      <w:b/>
      <w:bCs/>
      <w:color w:val="00B0B9"/>
    </w:rPr>
  </w:style>
  <w:style w:type="character" w:customStyle="1" w:styleId="Heading3Char">
    <w:name w:val="Heading 3 Char"/>
    <w:basedOn w:val="DefaultParagraphFont"/>
    <w:link w:val="Heading3"/>
    <w:uiPriority w:val="9"/>
    <w:rsid w:val="00775BB9"/>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F50598"/>
    <w:pPr>
      <w:spacing w:after="300"/>
      <w:contextualSpacing/>
      <w:jc w:val="center"/>
    </w:pPr>
    <w:rPr>
      <w:rFonts w:eastAsiaTheme="majorEastAsia" w:cstheme="majorBidi"/>
      <w:color w:val="707372"/>
      <w:spacing w:val="5"/>
      <w:kern w:val="28"/>
      <w:sz w:val="52"/>
      <w:szCs w:val="52"/>
    </w:rPr>
  </w:style>
  <w:style w:type="character" w:customStyle="1" w:styleId="TitleChar">
    <w:name w:val="Title Char"/>
    <w:basedOn w:val="DefaultParagraphFont"/>
    <w:link w:val="Title"/>
    <w:uiPriority w:val="10"/>
    <w:rsid w:val="00F50598"/>
    <w:rPr>
      <w:rFonts w:eastAsiaTheme="majorEastAsia" w:cstheme="majorBidi"/>
      <w:color w:val="707372"/>
      <w:spacing w:val="5"/>
      <w:kern w:val="28"/>
      <w:sz w:val="52"/>
      <w:szCs w:val="52"/>
    </w:rPr>
  </w:style>
  <w:style w:type="character" w:customStyle="1" w:styleId="Heading4Char">
    <w:name w:val="Heading 4 Char"/>
    <w:basedOn w:val="DefaultParagraphFont"/>
    <w:link w:val="Heading4"/>
    <w:uiPriority w:val="9"/>
    <w:rsid w:val="00775BB9"/>
    <w:rPr>
      <w:rFonts w:asciiTheme="majorHAnsi" w:eastAsiaTheme="majorEastAsia" w:hAnsiTheme="majorHAnsi" w:cstheme="majorBidi"/>
      <w:b/>
      <w:bCs/>
      <w:iCs/>
      <w:color w:val="707372" w:themeColor="text2"/>
    </w:rPr>
  </w:style>
  <w:style w:type="paragraph" w:styleId="NoSpacing">
    <w:name w:val="No Spacing"/>
    <w:link w:val="NoSpacingChar"/>
    <w:uiPriority w:val="1"/>
    <w:qFormat/>
    <w:rsid w:val="00F306A3"/>
    <w:pPr>
      <w:spacing w:after="0" w:line="240" w:lineRule="auto"/>
    </w:pPr>
    <w:rPr>
      <w:rFonts w:asciiTheme="minorHAnsi" w:hAnsiTheme="minorHAnsi"/>
    </w:rPr>
  </w:style>
  <w:style w:type="character" w:styleId="IntenseEmphasis">
    <w:name w:val="Intense Emphasis"/>
    <w:basedOn w:val="DefaultParagraphFont"/>
    <w:uiPriority w:val="21"/>
    <w:qFormat/>
    <w:rsid w:val="00F306A3"/>
    <w:rPr>
      <w:b/>
      <w:bCs/>
      <w:i/>
      <w:iCs/>
      <w:color w:val="FE5000"/>
    </w:rPr>
  </w:style>
  <w:style w:type="paragraph" w:styleId="Quote">
    <w:name w:val="Quote"/>
    <w:basedOn w:val="Normal"/>
    <w:next w:val="Normal"/>
    <w:link w:val="QuoteChar"/>
    <w:uiPriority w:val="29"/>
    <w:qFormat/>
    <w:rsid w:val="00F306A3"/>
    <w:rPr>
      <w:i/>
      <w:iCs/>
      <w:color w:val="00B0B9"/>
    </w:rPr>
  </w:style>
  <w:style w:type="character" w:customStyle="1" w:styleId="QuoteChar">
    <w:name w:val="Quote Char"/>
    <w:basedOn w:val="DefaultParagraphFont"/>
    <w:link w:val="Quote"/>
    <w:uiPriority w:val="29"/>
    <w:rsid w:val="00F306A3"/>
    <w:rPr>
      <w:rFonts w:asciiTheme="minorHAnsi" w:hAnsiTheme="minorHAnsi"/>
      <w:i/>
      <w:iCs/>
      <w:color w:val="00B0B9"/>
    </w:rPr>
  </w:style>
  <w:style w:type="paragraph" w:styleId="Subtitle">
    <w:name w:val="Subtitle"/>
    <w:basedOn w:val="Normal"/>
    <w:next w:val="Normal"/>
    <w:link w:val="SubtitleChar"/>
    <w:uiPriority w:val="11"/>
    <w:semiHidden/>
    <w:unhideWhenUsed/>
    <w:qFormat/>
    <w:rsid w:val="00F306A3"/>
    <w:pPr>
      <w:numPr>
        <w:ilvl w:val="1"/>
      </w:numPr>
    </w:pPr>
    <w:rPr>
      <w:rFonts w:asciiTheme="majorHAnsi" w:eastAsiaTheme="majorEastAsia" w:hAnsiTheme="majorHAnsi" w:cstheme="majorBidi"/>
      <w:i/>
      <w:iCs/>
      <w:color w:val="707372"/>
      <w:spacing w:val="15"/>
    </w:rPr>
  </w:style>
  <w:style w:type="character" w:customStyle="1" w:styleId="SubtitleChar">
    <w:name w:val="Subtitle Char"/>
    <w:basedOn w:val="DefaultParagraphFont"/>
    <w:link w:val="Subtitle"/>
    <w:uiPriority w:val="11"/>
    <w:semiHidden/>
    <w:rsid w:val="00A779C3"/>
    <w:rPr>
      <w:rFonts w:asciiTheme="majorHAnsi" w:eastAsiaTheme="majorEastAsia" w:hAnsiTheme="majorHAnsi" w:cstheme="majorBidi"/>
      <w:i/>
      <w:iCs/>
      <w:color w:val="707372"/>
      <w:spacing w:val="15"/>
    </w:rPr>
  </w:style>
  <w:style w:type="paragraph" w:styleId="IntenseQuote">
    <w:name w:val="Intense Quote"/>
    <w:basedOn w:val="Normal"/>
    <w:next w:val="Normal"/>
    <w:link w:val="IntenseQuoteChar"/>
    <w:uiPriority w:val="30"/>
    <w:qFormat/>
    <w:rsid w:val="00A779C3"/>
    <w:pPr>
      <w:pBdr>
        <w:bottom w:val="single" w:sz="4" w:space="4" w:color="00B0B9"/>
      </w:pBdr>
      <w:spacing w:before="200" w:after="280"/>
      <w:ind w:left="936" w:right="936"/>
    </w:pPr>
    <w:rPr>
      <w:b/>
      <w:bCs/>
      <w:i/>
      <w:iCs/>
      <w:color w:val="00B0B9"/>
    </w:rPr>
  </w:style>
  <w:style w:type="character" w:customStyle="1" w:styleId="IntenseQuoteChar">
    <w:name w:val="Intense Quote Char"/>
    <w:basedOn w:val="DefaultParagraphFont"/>
    <w:link w:val="IntenseQuote"/>
    <w:uiPriority w:val="30"/>
    <w:rsid w:val="00A779C3"/>
    <w:rPr>
      <w:rFonts w:asciiTheme="minorHAnsi" w:hAnsiTheme="minorHAnsi"/>
      <w:b/>
      <w:bCs/>
      <w:i/>
      <w:iCs/>
      <w:color w:val="00B0B9"/>
    </w:rPr>
  </w:style>
  <w:style w:type="paragraph" w:styleId="Header">
    <w:name w:val="header"/>
    <w:basedOn w:val="Normal"/>
    <w:link w:val="HeaderChar"/>
    <w:uiPriority w:val="99"/>
    <w:unhideWhenUsed/>
    <w:rsid w:val="003729E5"/>
    <w:pPr>
      <w:tabs>
        <w:tab w:val="center" w:pos="4680"/>
        <w:tab w:val="right" w:pos="9360"/>
      </w:tabs>
    </w:pPr>
  </w:style>
  <w:style w:type="character" w:customStyle="1" w:styleId="HeaderChar">
    <w:name w:val="Header Char"/>
    <w:basedOn w:val="DefaultParagraphFont"/>
    <w:link w:val="Header"/>
    <w:uiPriority w:val="99"/>
    <w:rsid w:val="003729E5"/>
    <w:rPr>
      <w:rFonts w:asciiTheme="minorHAnsi" w:hAnsiTheme="minorHAnsi"/>
    </w:rPr>
  </w:style>
  <w:style w:type="paragraph" w:styleId="Footer">
    <w:name w:val="footer"/>
    <w:basedOn w:val="Normal"/>
    <w:link w:val="FooterChar"/>
    <w:uiPriority w:val="99"/>
    <w:unhideWhenUsed/>
    <w:rsid w:val="003729E5"/>
    <w:pPr>
      <w:tabs>
        <w:tab w:val="center" w:pos="4680"/>
        <w:tab w:val="right" w:pos="9360"/>
      </w:tabs>
    </w:pPr>
  </w:style>
  <w:style w:type="character" w:customStyle="1" w:styleId="FooterChar">
    <w:name w:val="Footer Char"/>
    <w:basedOn w:val="DefaultParagraphFont"/>
    <w:link w:val="Footer"/>
    <w:uiPriority w:val="99"/>
    <w:rsid w:val="003729E5"/>
    <w:rPr>
      <w:rFonts w:asciiTheme="minorHAnsi" w:hAnsiTheme="minorHAnsi"/>
    </w:rPr>
  </w:style>
  <w:style w:type="character" w:styleId="PlaceholderText">
    <w:name w:val="Placeholder Text"/>
    <w:basedOn w:val="DefaultParagraphFont"/>
    <w:uiPriority w:val="99"/>
    <w:semiHidden/>
    <w:rsid w:val="003729E5"/>
    <w:rPr>
      <w:color w:val="808080"/>
    </w:rPr>
  </w:style>
  <w:style w:type="paragraph" w:styleId="BalloonText">
    <w:name w:val="Balloon Text"/>
    <w:basedOn w:val="Normal"/>
    <w:link w:val="BalloonTextChar"/>
    <w:uiPriority w:val="99"/>
    <w:semiHidden/>
    <w:unhideWhenUsed/>
    <w:rsid w:val="003729E5"/>
    <w:rPr>
      <w:rFonts w:ascii="Tahoma" w:hAnsi="Tahoma" w:cs="Tahoma"/>
      <w:sz w:val="16"/>
      <w:szCs w:val="16"/>
    </w:rPr>
  </w:style>
  <w:style w:type="character" w:customStyle="1" w:styleId="BalloonTextChar">
    <w:name w:val="Balloon Text Char"/>
    <w:basedOn w:val="DefaultParagraphFont"/>
    <w:link w:val="BalloonText"/>
    <w:uiPriority w:val="99"/>
    <w:semiHidden/>
    <w:rsid w:val="003729E5"/>
    <w:rPr>
      <w:rFonts w:ascii="Tahoma" w:hAnsi="Tahoma" w:cs="Tahoma"/>
      <w:sz w:val="16"/>
      <w:szCs w:val="16"/>
    </w:rPr>
  </w:style>
  <w:style w:type="character" w:customStyle="1" w:styleId="Heading5Char">
    <w:name w:val="Heading 5 Char"/>
    <w:basedOn w:val="DefaultParagraphFont"/>
    <w:link w:val="Heading5"/>
    <w:uiPriority w:val="9"/>
    <w:rsid w:val="00775BB9"/>
    <w:rPr>
      <w:rFonts w:asciiTheme="minorHAnsi" w:eastAsiaTheme="majorEastAsia" w:hAnsiTheme="minorHAnsi" w:cstheme="majorBidi"/>
      <w:color w:val="000000" w:themeColor="text1"/>
    </w:rPr>
  </w:style>
  <w:style w:type="table" w:styleId="TableGrid">
    <w:name w:val="Table Grid"/>
    <w:basedOn w:val="TableNormal"/>
    <w:uiPriority w:val="59"/>
    <w:rsid w:val="00CB2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5AEF"/>
    <w:pPr>
      <w:spacing w:before="100" w:beforeAutospacing="1" w:after="100" w:afterAutospacing="1"/>
    </w:pPr>
    <w:rPr>
      <w:rFonts w:ascii="Times New Roman" w:eastAsia="Times New Roman" w:hAnsi="Times New Roman" w:cs="Times New Roman"/>
    </w:rPr>
  </w:style>
  <w:style w:type="table" w:styleId="GridTable2-Accent6">
    <w:name w:val="Grid Table 2 Accent 6"/>
    <w:basedOn w:val="TableNormal"/>
    <w:uiPriority w:val="47"/>
    <w:rsid w:val="00FB423D"/>
    <w:pPr>
      <w:spacing w:after="0" w:line="240" w:lineRule="auto"/>
    </w:pPr>
    <w:tblPr>
      <w:tblStyleRowBandSize w:val="1"/>
      <w:tblStyleColBandSize w:val="1"/>
      <w:tblBorders>
        <w:top w:val="single" w:sz="2" w:space="0" w:color="D0EEEE" w:themeColor="accent6" w:themeTint="99"/>
        <w:bottom w:val="single" w:sz="2" w:space="0" w:color="D0EEEE" w:themeColor="accent6" w:themeTint="99"/>
        <w:insideH w:val="single" w:sz="2" w:space="0" w:color="D0EEEE" w:themeColor="accent6" w:themeTint="99"/>
        <w:insideV w:val="single" w:sz="2" w:space="0" w:color="D0EEEE" w:themeColor="accent6" w:themeTint="99"/>
      </w:tblBorders>
    </w:tblPr>
    <w:tblStylePr w:type="firstRow">
      <w:rPr>
        <w:b/>
        <w:bCs/>
      </w:rPr>
      <w:tblPr/>
      <w:tcPr>
        <w:tcBorders>
          <w:top w:val="nil"/>
          <w:bottom w:val="single" w:sz="12" w:space="0" w:color="D0EEEE" w:themeColor="accent6" w:themeTint="99"/>
          <w:insideH w:val="nil"/>
          <w:insideV w:val="nil"/>
        </w:tcBorders>
        <w:shd w:val="clear" w:color="auto" w:fill="FFFFFF" w:themeFill="background1"/>
      </w:tcPr>
    </w:tblStylePr>
    <w:tblStylePr w:type="lastRow">
      <w:rPr>
        <w:b/>
        <w:bCs/>
      </w:rPr>
      <w:tblPr/>
      <w:tcPr>
        <w:tcBorders>
          <w:top w:val="double" w:sz="2" w:space="0" w:color="D0EEE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9F9" w:themeFill="accent6" w:themeFillTint="33"/>
      </w:tcPr>
    </w:tblStylePr>
    <w:tblStylePr w:type="band1Horz">
      <w:tblPr/>
      <w:tcPr>
        <w:shd w:val="clear" w:color="auto" w:fill="EFF9F9" w:themeFill="accent6" w:themeFillTint="33"/>
      </w:tcPr>
    </w:tblStylePr>
  </w:style>
  <w:style w:type="character" w:customStyle="1" w:styleId="NoSpacingChar">
    <w:name w:val="No Spacing Char"/>
    <w:basedOn w:val="DefaultParagraphFont"/>
    <w:link w:val="NoSpacing"/>
    <w:uiPriority w:val="1"/>
    <w:rsid w:val="000B7169"/>
    <w:rPr>
      <w:rFonts w:asciiTheme="minorHAnsi" w:hAnsiTheme="minorHAnsi"/>
    </w:rPr>
  </w:style>
  <w:style w:type="paragraph" w:styleId="ListParagraph">
    <w:name w:val="List Paragraph"/>
    <w:basedOn w:val="Normal"/>
    <w:uiPriority w:val="34"/>
    <w:qFormat/>
    <w:rsid w:val="00FE4FF8"/>
    <w:pPr>
      <w:ind w:left="720"/>
      <w:contextualSpacing/>
    </w:pPr>
  </w:style>
  <w:style w:type="character" w:styleId="Hyperlink">
    <w:name w:val="Hyperlink"/>
    <w:basedOn w:val="DefaultParagraphFont"/>
    <w:uiPriority w:val="99"/>
    <w:unhideWhenUsed/>
    <w:rsid w:val="003C442E"/>
    <w:rPr>
      <w:color w:val="0000FF" w:themeColor="hyperlink"/>
      <w:u w:val="single"/>
    </w:rPr>
  </w:style>
  <w:style w:type="character" w:styleId="CommentReference">
    <w:name w:val="annotation reference"/>
    <w:basedOn w:val="DefaultParagraphFont"/>
    <w:uiPriority w:val="99"/>
    <w:semiHidden/>
    <w:unhideWhenUsed/>
    <w:rsid w:val="00A60807"/>
    <w:rPr>
      <w:sz w:val="16"/>
      <w:szCs w:val="16"/>
    </w:rPr>
  </w:style>
  <w:style w:type="paragraph" w:styleId="CommentText">
    <w:name w:val="annotation text"/>
    <w:basedOn w:val="Normal"/>
    <w:link w:val="CommentTextChar"/>
    <w:uiPriority w:val="99"/>
    <w:semiHidden/>
    <w:unhideWhenUsed/>
    <w:rsid w:val="00A60807"/>
    <w:pPr>
      <w:spacing w:line="240" w:lineRule="auto"/>
    </w:pPr>
    <w:rPr>
      <w:sz w:val="20"/>
      <w:szCs w:val="20"/>
    </w:rPr>
  </w:style>
  <w:style w:type="character" w:customStyle="1" w:styleId="CommentTextChar">
    <w:name w:val="Comment Text Char"/>
    <w:basedOn w:val="DefaultParagraphFont"/>
    <w:link w:val="CommentText"/>
    <w:uiPriority w:val="99"/>
    <w:semiHidden/>
    <w:rsid w:val="00A60807"/>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44307">
      <w:bodyDiv w:val="1"/>
      <w:marLeft w:val="0"/>
      <w:marRight w:val="0"/>
      <w:marTop w:val="0"/>
      <w:marBottom w:val="0"/>
      <w:divBdr>
        <w:top w:val="none" w:sz="0" w:space="0" w:color="auto"/>
        <w:left w:val="none" w:sz="0" w:space="0" w:color="auto"/>
        <w:bottom w:val="none" w:sz="0" w:space="0" w:color="auto"/>
        <w:right w:val="none" w:sz="0" w:space="0" w:color="auto"/>
      </w:divBdr>
    </w:div>
    <w:div w:id="635917150">
      <w:bodyDiv w:val="1"/>
      <w:marLeft w:val="0"/>
      <w:marRight w:val="0"/>
      <w:marTop w:val="0"/>
      <w:marBottom w:val="0"/>
      <w:divBdr>
        <w:top w:val="none" w:sz="0" w:space="0" w:color="auto"/>
        <w:left w:val="none" w:sz="0" w:space="0" w:color="auto"/>
        <w:bottom w:val="none" w:sz="0" w:space="0" w:color="auto"/>
        <w:right w:val="none" w:sz="0" w:space="0" w:color="auto"/>
      </w:divBdr>
    </w:div>
    <w:div w:id="710426349">
      <w:bodyDiv w:val="1"/>
      <w:marLeft w:val="0"/>
      <w:marRight w:val="0"/>
      <w:marTop w:val="0"/>
      <w:marBottom w:val="0"/>
      <w:divBdr>
        <w:top w:val="none" w:sz="0" w:space="0" w:color="auto"/>
        <w:left w:val="none" w:sz="0" w:space="0" w:color="auto"/>
        <w:bottom w:val="none" w:sz="0" w:space="0" w:color="auto"/>
        <w:right w:val="none" w:sz="0" w:space="0" w:color="auto"/>
      </w:divBdr>
    </w:div>
    <w:div w:id="715273579">
      <w:bodyDiv w:val="1"/>
      <w:marLeft w:val="0"/>
      <w:marRight w:val="0"/>
      <w:marTop w:val="0"/>
      <w:marBottom w:val="0"/>
      <w:divBdr>
        <w:top w:val="none" w:sz="0" w:space="0" w:color="auto"/>
        <w:left w:val="none" w:sz="0" w:space="0" w:color="auto"/>
        <w:bottom w:val="none" w:sz="0" w:space="0" w:color="auto"/>
        <w:right w:val="none" w:sz="0" w:space="0" w:color="auto"/>
      </w:divBdr>
    </w:div>
    <w:div w:id="1208493270">
      <w:bodyDiv w:val="1"/>
      <w:marLeft w:val="0"/>
      <w:marRight w:val="0"/>
      <w:marTop w:val="0"/>
      <w:marBottom w:val="0"/>
      <w:divBdr>
        <w:top w:val="none" w:sz="0" w:space="0" w:color="auto"/>
        <w:left w:val="none" w:sz="0" w:space="0" w:color="auto"/>
        <w:bottom w:val="none" w:sz="0" w:space="0" w:color="auto"/>
        <w:right w:val="none" w:sz="0" w:space="0" w:color="auto"/>
      </w:divBdr>
    </w:div>
    <w:div w:id="1263682828">
      <w:bodyDiv w:val="1"/>
      <w:marLeft w:val="0"/>
      <w:marRight w:val="0"/>
      <w:marTop w:val="0"/>
      <w:marBottom w:val="0"/>
      <w:divBdr>
        <w:top w:val="none" w:sz="0" w:space="0" w:color="auto"/>
        <w:left w:val="none" w:sz="0" w:space="0" w:color="auto"/>
        <w:bottom w:val="none" w:sz="0" w:space="0" w:color="auto"/>
        <w:right w:val="none" w:sz="0" w:space="0" w:color="auto"/>
      </w:divBdr>
    </w:div>
    <w:div w:id="1446778347">
      <w:bodyDiv w:val="1"/>
      <w:marLeft w:val="0"/>
      <w:marRight w:val="0"/>
      <w:marTop w:val="0"/>
      <w:marBottom w:val="0"/>
      <w:divBdr>
        <w:top w:val="none" w:sz="0" w:space="0" w:color="auto"/>
        <w:left w:val="none" w:sz="0" w:space="0" w:color="auto"/>
        <w:bottom w:val="none" w:sz="0" w:space="0" w:color="auto"/>
        <w:right w:val="none" w:sz="0" w:space="0" w:color="auto"/>
      </w:divBdr>
    </w:div>
    <w:div w:id="19013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support@brightmls.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07372"/>
      </a:dk2>
      <a:lt2>
        <a:srgbClr val="CFCDC9"/>
      </a:lt2>
      <a:accent1>
        <a:srgbClr val="FE5000"/>
      </a:accent1>
      <a:accent2>
        <a:srgbClr val="00B0B9"/>
      </a:accent2>
      <a:accent3>
        <a:srgbClr val="E4004F"/>
      </a:accent3>
      <a:accent4>
        <a:srgbClr val="614B79"/>
      </a:accent4>
      <a:accent5>
        <a:srgbClr val="FFBE9F"/>
      </a:accent5>
      <a:accent6>
        <a:srgbClr val="B1E4E3"/>
      </a:accent6>
      <a:hlink>
        <a:srgbClr val="0000FF"/>
      </a:hlink>
      <a:folHlink>
        <a:srgbClr val="800080"/>
      </a:folHlink>
    </a:clrScheme>
    <a:fontScheme name="Custom 1">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A19D8-0BB9-45D6-BDDE-6102781F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Schaffer</dc:creator>
  <cp:keywords/>
  <dc:description/>
  <cp:lastModifiedBy>Debbie Freer</cp:lastModifiedBy>
  <cp:revision>2</cp:revision>
  <dcterms:created xsi:type="dcterms:W3CDTF">2018-04-05T20:53:00Z</dcterms:created>
  <dcterms:modified xsi:type="dcterms:W3CDTF">2018-04-05T20:53:00Z</dcterms:modified>
</cp:coreProperties>
</file>